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9D677E" w14:textId="03294D04" w:rsidR="00D6637E" w:rsidRPr="00D6637E" w:rsidRDefault="0004674A" w:rsidP="00D6637E">
      <w:pPr>
        <w:spacing w:after="0" w:line="240" w:lineRule="auto"/>
        <w:jc w:val="center"/>
        <w:rPr>
          <w:rFonts w:ascii="Calibri" w:hAnsi="Calibri" w:cs="Times New Roman"/>
        </w:rPr>
      </w:pPr>
      <w:r>
        <w:rPr>
          <w:noProof/>
          <w:lang w:eastAsia="en-IE"/>
        </w:rPr>
        <w:drawing>
          <wp:anchor distT="0" distB="0" distL="114300" distR="114300" simplePos="0" relativeHeight="251661312" behindDoc="1" locked="1" layoutInCell="1" allowOverlap="0" wp14:anchorId="627C37FE" wp14:editId="0EFB4FD5">
            <wp:simplePos x="0" y="0"/>
            <wp:positionH relativeFrom="page">
              <wp:posOffset>-407035</wp:posOffset>
            </wp:positionH>
            <wp:positionV relativeFrom="page">
              <wp:posOffset>-268605</wp:posOffset>
            </wp:positionV>
            <wp:extent cx="7573010" cy="133667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Education_Dept_Letterhead_Header.pd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3010" cy="1336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981947" w14:textId="77777777" w:rsidR="00E53933" w:rsidRDefault="00E53933" w:rsidP="00D877D6">
      <w:pPr>
        <w:spacing w:after="0" w:line="240" w:lineRule="auto"/>
        <w:ind w:left="2880"/>
        <w:jc w:val="center"/>
        <w:rPr>
          <w:rFonts w:cs="Times New Roman"/>
          <w:b/>
          <w:sz w:val="24"/>
          <w:szCs w:val="24"/>
        </w:rPr>
      </w:pPr>
    </w:p>
    <w:p w14:paraId="650E7DBA" w14:textId="0D85834D" w:rsidR="00D6637E" w:rsidRPr="003A4843" w:rsidRDefault="00D6637E" w:rsidP="0039597E">
      <w:pPr>
        <w:ind w:left="4320" w:firstLine="720"/>
        <w:jc w:val="center"/>
        <w:rPr>
          <w:b/>
        </w:rPr>
      </w:pPr>
      <w:r w:rsidRPr="003A4843">
        <w:rPr>
          <w:b/>
          <w:bCs/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F7313B" wp14:editId="4BAB98FA">
                <wp:simplePos x="0" y="0"/>
                <wp:positionH relativeFrom="column">
                  <wp:posOffset>38100</wp:posOffset>
                </wp:positionH>
                <wp:positionV relativeFrom="paragraph">
                  <wp:posOffset>278130</wp:posOffset>
                </wp:positionV>
                <wp:extent cx="5577840" cy="1404620"/>
                <wp:effectExtent l="0" t="0" r="22860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7840" cy="1404620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75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2A8A59" w14:textId="77777777" w:rsidR="00D6637E" w:rsidRDefault="00D6637E" w:rsidP="00D6637E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0B757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To: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The Managerial Authorities of Recognised Primary, Secondary, Community and Comprehensive Schools</w:t>
                            </w:r>
                          </w:p>
                          <w:p w14:paraId="0D0A56F8" w14:textId="77777777" w:rsidR="00D6637E" w:rsidRDefault="00D6637E" w:rsidP="00D6637E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and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14:paraId="60B72B61" w14:textId="77777777" w:rsidR="00D6637E" w:rsidRPr="000B7570" w:rsidRDefault="00D6637E" w:rsidP="00D6637E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The Chief Executives of Education and Training Boards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F731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pt;margin-top:21.9pt;width:439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" fillcolor="#afabab">
                <v:textbox style="mso-fit-shape-to-text:t">
                  <w:txbxContent>
                    <w:p w14:paraId="3A2A8A59" w14:textId="77777777" w:rsidR="00D6637E" w:rsidRDefault="00D6637E" w:rsidP="00D6637E">
                      <w:pPr>
                        <w:pStyle w:val="Default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0B757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To: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The Managerial Authorities of Recognised Primary, Secondary, Community and Comprehensive Schools</w:t>
                      </w:r>
                    </w:p>
                    <w:p w14:paraId="0D0A56F8" w14:textId="77777777" w:rsidR="00D6637E" w:rsidRDefault="00D6637E" w:rsidP="00D6637E">
                      <w:pPr>
                        <w:pStyle w:val="Default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 and  </w:t>
                      </w:r>
                    </w:p>
                    <w:p w14:paraId="60B72B61" w14:textId="77777777" w:rsidR="00D6637E" w:rsidRPr="000B7570" w:rsidRDefault="00D6637E" w:rsidP="00D6637E">
                      <w:pPr>
                        <w:pStyle w:val="Default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The Chief Executives of Education and Training Boards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9597E">
        <w:rPr>
          <w:b/>
        </w:rPr>
        <w:t>Information Note T</w:t>
      </w:r>
      <w:r w:rsidR="005B1534">
        <w:rPr>
          <w:b/>
        </w:rPr>
        <w:t>TC 004</w:t>
      </w:r>
      <w:r w:rsidR="003E6C2C">
        <w:rPr>
          <w:b/>
        </w:rPr>
        <w:t>/2020</w:t>
      </w:r>
    </w:p>
    <w:p w14:paraId="1430E8DD" w14:textId="77777777" w:rsidR="00E80236" w:rsidRDefault="00665852" w:rsidP="00B06264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E80236">
        <w:rPr>
          <w:rFonts w:ascii="Arial" w:hAnsi="Arial" w:cs="Arial"/>
          <w:b/>
          <w:bCs/>
        </w:rPr>
        <w:t>New Employee Assistance Service (EAS) Provider</w:t>
      </w:r>
    </w:p>
    <w:p w14:paraId="03EA78A6" w14:textId="77777777" w:rsidR="00B06264" w:rsidRPr="00E80236" w:rsidRDefault="00B06264" w:rsidP="00B06264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1F7F0D2" w14:textId="17323FFE" w:rsidR="00E80236" w:rsidRPr="00D520B2" w:rsidRDefault="00840968" w:rsidP="00B06264">
      <w:pPr>
        <w:spacing w:after="0" w:line="240" w:lineRule="auto"/>
        <w:ind w:left="567" w:hanging="56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>‘</w:t>
      </w:r>
      <w:r w:rsidR="00E80236">
        <w:rPr>
          <w:rFonts w:ascii="Arial" w:hAnsi="Arial" w:cs="Arial"/>
          <w:b/>
        </w:rPr>
        <w:t>W</w:t>
      </w:r>
      <w:r w:rsidR="00E80236" w:rsidRPr="00E80236">
        <w:rPr>
          <w:rFonts w:ascii="Arial" w:hAnsi="Arial" w:cs="Arial"/>
          <w:b/>
        </w:rPr>
        <w:t>ellbeing</w:t>
      </w:r>
      <w:r w:rsidR="00A84228">
        <w:rPr>
          <w:rFonts w:ascii="Arial" w:hAnsi="Arial" w:cs="Arial"/>
          <w:b/>
        </w:rPr>
        <w:t xml:space="preserve"> Together: </w:t>
      </w:r>
      <w:proofErr w:type="spellStart"/>
      <w:r w:rsidR="00A84228">
        <w:rPr>
          <w:rFonts w:ascii="Arial" w:hAnsi="Arial" w:cs="Arial"/>
          <w:b/>
        </w:rPr>
        <w:t>Follái</w:t>
      </w:r>
      <w:r w:rsidR="00B06264">
        <w:rPr>
          <w:rFonts w:ascii="Arial" w:hAnsi="Arial" w:cs="Arial"/>
          <w:b/>
        </w:rPr>
        <w:t>ne</w:t>
      </w:r>
      <w:proofErr w:type="spellEnd"/>
      <w:r w:rsidR="00B06264">
        <w:rPr>
          <w:rFonts w:ascii="Arial" w:hAnsi="Arial" w:cs="Arial"/>
          <w:b/>
        </w:rPr>
        <w:t xml:space="preserve"> le </w:t>
      </w:r>
      <w:proofErr w:type="spellStart"/>
      <w:r w:rsidR="00B06264">
        <w:rPr>
          <w:rFonts w:ascii="Arial" w:hAnsi="Arial" w:cs="Arial"/>
          <w:b/>
        </w:rPr>
        <w:t>Chéile</w:t>
      </w:r>
      <w:proofErr w:type="spellEnd"/>
      <w:r w:rsidR="00B06264">
        <w:rPr>
          <w:rFonts w:ascii="Arial" w:hAnsi="Arial" w:cs="Arial"/>
          <w:b/>
        </w:rPr>
        <w:t>’</w:t>
      </w:r>
    </w:p>
    <w:p w14:paraId="06313B39" w14:textId="0238E144" w:rsidR="000D5BC3" w:rsidRPr="00D520B2" w:rsidRDefault="00AC329D" w:rsidP="00B95C7E">
      <w:pPr>
        <w:pStyle w:val="default0"/>
        <w:numPr>
          <w:ilvl w:val="0"/>
          <w:numId w:val="8"/>
        </w:numPr>
        <w:ind w:left="567" w:hanging="567"/>
        <w:rPr>
          <w:rFonts w:ascii="Arial" w:hAnsi="Arial" w:cs="Arial"/>
          <w:b/>
          <w:bCs/>
          <w:sz w:val="20"/>
          <w:szCs w:val="20"/>
        </w:rPr>
      </w:pPr>
      <w:r w:rsidRPr="00D520B2">
        <w:rPr>
          <w:rFonts w:ascii="Arial" w:hAnsi="Arial" w:cs="Arial"/>
          <w:b/>
          <w:color w:val="auto"/>
          <w:sz w:val="20"/>
          <w:szCs w:val="20"/>
        </w:rPr>
        <w:t>Introduction</w:t>
      </w:r>
    </w:p>
    <w:p w14:paraId="32DC3A27" w14:textId="77777777" w:rsidR="00840968" w:rsidRPr="00840968" w:rsidRDefault="000E0339" w:rsidP="00840968">
      <w:pPr>
        <w:pStyle w:val="ListParagraph"/>
        <w:numPr>
          <w:ilvl w:val="1"/>
          <w:numId w:val="16"/>
        </w:numPr>
        <w:spacing w:before="100" w:beforeAutospacing="1" w:after="100" w:afterAutospacing="1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840968">
        <w:rPr>
          <w:rFonts w:ascii="Arial" w:hAnsi="Arial" w:cs="Arial"/>
          <w:sz w:val="20"/>
          <w:szCs w:val="20"/>
        </w:rPr>
        <w:t xml:space="preserve">An </w:t>
      </w:r>
      <w:r w:rsidRPr="00840968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Occupational Health Strategy</w:t>
      </w:r>
      <w:r w:rsidRPr="00840968">
        <w:rPr>
          <w:rFonts w:ascii="Arial" w:hAnsi="Arial" w:cs="Arial"/>
          <w:sz w:val="20"/>
          <w:szCs w:val="20"/>
        </w:rPr>
        <w:t xml:space="preserve"> is in place as a supportive resource for employees. The aim of this strategy is to promote the </w:t>
      </w:r>
      <w:r w:rsidR="00B95C7E" w:rsidRPr="00840968">
        <w:rPr>
          <w:rFonts w:ascii="Arial" w:hAnsi="Arial" w:cs="Arial"/>
          <w:sz w:val="20"/>
          <w:szCs w:val="20"/>
        </w:rPr>
        <w:t>health of</w:t>
      </w:r>
      <w:r w:rsidRPr="00840968">
        <w:rPr>
          <w:rFonts w:ascii="Arial" w:hAnsi="Arial" w:cs="Arial"/>
          <w:sz w:val="20"/>
          <w:szCs w:val="20"/>
        </w:rPr>
        <w:t xml:space="preserve"> employees in the workplace, with a focus primarily on prevention rather than cure. The Occupational Health Strategy </w:t>
      </w:r>
      <w:r w:rsidRPr="00840968">
        <w:rPr>
          <w:rFonts w:ascii="Arial" w:hAnsi="Arial" w:cs="Arial"/>
          <w:color w:val="000000" w:themeColor="text1"/>
          <w:sz w:val="20"/>
          <w:szCs w:val="20"/>
        </w:rPr>
        <w:t xml:space="preserve">comprises the </w:t>
      </w:r>
      <w:r w:rsidRPr="00840968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Employee Assistance Service (EAS)</w:t>
      </w:r>
      <w:r w:rsidRPr="0084096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840968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a</w:t>
      </w:r>
      <w:r w:rsidRPr="00840968">
        <w:rPr>
          <w:rFonts w:ascii="Arial" w:hAnsi="Arial" w:cs="Arial"/>
          <w:color w:val="000000" w:themeColor="text1"/>
          <w:sz w:val="20"/>
          <w:szCs w:val="20"/>
        </w:rPr>
        <w:t xml:space="preserve">nd the Occupational Health Service </w:t>
      </w:r>
      <w:r w:rsidRPr="00840968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(OHS)</w:t>
      </w:r>
      <w:r w:rsidRPr="00840968">
        <w:rPr>
          <w:rFonts w:ascii="Arial" w:hAnsi="Arial" w:cs="Arial"/>
          <w:color w:val="000000" w:themeColor="text1"/>
          <w:sz w:val="20"/>
          <w:szCs w:val="20"/>
        </w:rPr>
        <w:t>.</w:t>
      </w:r>
      <w:r w:rsidRPr="00840968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14:paraId="62CDC09F" w14:textId="45AFB3D3" w:rsidR="00840968" w:rsidRPr="00840968" w:rsidRDefault="000E0339" w:rsidP="00840968">
      <w:pPr>
        <w:pStyle w:val="ListParagraph"/>
        <w:spacing w:before="100" w:beforeAutospacing="1" w:after="100" w:afterAutospacing="1" w:line="240" w:lineRule="auto"/>
        <w:ind w:left="570"/>
        <w:rPr>
          <w:rFonts w:ascii="Arial" w:hAnsi="Arial" w:cs="Arial"/>
          <w:b/>
          <w:color w:val="000000" w:themeColor="text1"/>
          <w:sz w:val="20"/>
          <w:szCs w:val="20"/>
        </w:rPr>
      </w:pPr>
      <w:r w:rsidRPr="00840968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14:paraId="18BF7C9A" w14:textId="07EEC9E9" w:rsidR="00840968" w:rsidRPr="00840968" w:rsidRDefault="00840968" w:rsidP="00840968">
      <w:pPr>
        <w:pStyle w:val="ListParagraph"/>
        <w:numPr>
          <w:ilvl w:val="1"/>
          <w:numId w:val="16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840968">
        <w:rPr>
          <w:rFonts w:ascii="Arial" w:hAnsi="Arial" w:cs="Arial"/>
          <w:sz w:val="20"/>
          <w:szCs w:val="20"/>
        </w:rPr>
        <w:t>The EAS is currently available to teachers, special needs assistants and also for clerical officers/caretakers employed under the 1978/79 Scheme. </w:t>
      </w:r>
    </w:p>
    <w:p w14:paraId="0F1AC577" w14:textId="77777777" w:rsidR="00840968" w:rsidRDefault="00840968" w:rsidP="00840968">
      <w:pPr>
        <w:pStyle w:val="ListParagraph"/>
        <w:spacing w:before="100" w:beforeAutospacing="1" w:after="100" w:afterAutospacing="1" w:line="240" w:lineRule="auto"/>
        <w:ind w:left="570"/>
        <w:rPr>
          <w:rFonts w:ascii="Arial" w:hAnsi="Arial" w:cs="Arial"/>
          <w:b/>
          <w:sz w:val="20"/>
          <w:szCs w:val="20"/>
        </w:rPr>
      </w:pPr>
    </w:p>
    <w:p w14:paraId="11161F67" w14:textId="77777777" w:rsidR="00840968" w:rsidRDefault="00840968" w:rsidP="00840968">
      <w:pPr>
        <w:pStyle w:val="ListParagraph"/>
        <w:spacing w:before="100" w:beforeAutospacing="1" w:after="100" w:afterAutospacing="1" w:line="240" w:lineRule="auto"/>
        <w:ind w:left="570"/>
        <w:rPr>
          <w:rFonts w:ascii="Arial" w:hAnsi="Arial" w:cs="Arial"/>
          <w:b/>
          <w:sz w:val="20"/>
          <w:szCs w:val="20"/>
        </w:rPr>
      </w:pPr>
    </w:p>
    <w:p w14:paraId="52EFD586" w14:textId="7987E6D4" w:rsidR="00B95C7E" w:rsidRPr="00840968" w:rsidRDefault="00B95C7E" w:rsidP="00D520B2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ind w:hanging="720"/>
        <w:rPr>
          <w:rFonts w:ascii="Arial" w:hAnsi="Arial" w:cs="Arial"/>
          <w:b/>
          <w:sz w:val="20"/>
          <w:szCs w:val="20"/>
        </w:rPr>
      </w:pPr>
      <w:r w:rsidRPr="00840968">
        <w:rPr>
          <w:rFonts w:ascii="Arial" w:hAnsi="Arial" w:cs="Arial"/>
          <w:b/>
          <w:sz w:val="20"/>
          <w:szCs w:val="20"/>
        </w:rPr>
        <w:t>New EAS Provider</w:t>
      </w:r>
    </w:p>
    <w:p w14:paraId="290B3AF4" w14:textId="55EA60C4" w:rsidR="000E0339" w:rsidRPr="00354A6F" w:rsidRDefault="00AB6844" w:rsidP="00AB6844">
      <w:pPr>
        <w:spacing w:before="100" w:beforeAutospacing="1" w:after="100" w:afterAutospacing="1" w:line="240" w:lineRule="auto"/>
        <w:ind w:left="567" w:hanging="567"/>
        <w:rPr>
          <w:rFonts w:ascii="Arial" w:hAnsi="Arial" w:cs="Arial"/>
          <w:sz w:val="20"/>
          <w:szCs w:val="20"/>
        </w:rPr>
      </w:pPr>
      <w:r w:rsidRPr="00354A6F">
        <w:rPr>
          <w:rFonts w:ascii="Arial" w:hAnsi="Arial" w:cs="Arial"/>
          <w:sz w:val="20"/>
          <w:szCs w:val="20"/>
        </w:rPr>
        <w:t>2.1</w:t>
      </w:r>
      <w:r w:rsidRPr="00354A6F">
        <w:rPr>
          <w:rFonts w:ascii="Arial" w:hAnsi="Arial" w:cs="Arial"/>
          <w:sz w:val="20"/>
          <w:szCs w:val="20"/>
        </w:rPr>
        <w:tab/>
      </w:r>
      <w:r w:rsidR="000E0339" w:rsidRPr="00354A6F">
        <w:rPr>
          <w:rFonts w:ascii="Arial" w:hAnsi="Arial" w:cs="Arial"/>
          <w:sz w:val="20"/>
          <w:szCs w:val="20"/>
        </w:rPr>
        <w:t>Following the Office of Government Procurement (OGP)</w:t>
      </w:r>
      <w:r w:rsidR="00016F7E" w:rsidRPr="00354A6F">
        <w:rPr>
          <w:rFonts w:ascii="Arial" w:hAnsi="Arial" w:cs="Arial"/>
          <w:sz w:val="20"/>
          <w:szCs w:val="20"/>
        </w:rPr>
        <w:t xml:space="preserve"> tendering process, </w:t>
      </w:r>
      <w:proofErr w:type="spellStart"/>
      <w:r w:rsidR="00016F7E" w:rsidRPr="00354A6F">
        <w:rPr>
          <w:rFonts w:ascii="Arial" w:hAnsi="Arial" w:cs="Arial"/>
          <w:sz w:val="20"/>
          <w:szCs w:val="20"/>
        </w:rPr>
        <w:t>Spectrum.Life</w:t>
      </w:r>
      <w:proofErr w:type="spellEnd"/>
      <w:r w:rsidR="00016F7E" w:rsidRPr="00354A6F">
        <w:rPr>
          <w:rFonts w:ascii="Arial" w:hAnsi="Arial" w:cs="Arial"/>
          <w:sz w:val="20"/>
          <w:szCs w:val="20"/>
        </w:rPr>
        <w:t xml:space="preserve"> has been awarded the new EAS contract </w:t>
      </w:r>
      <w:r w:rsidR="000E0339" w:rsidRPr="00354A6F">
        <w:rPr>
          <w:rFonts w:ascii="Arial" w:hAnsi="Arial" w:cs="Arial"/>
          <w:sz w:val="20"/>
          <w:szCs w:val="20"/>
        </w:rPr>
        <w:t xml:space="preserve">from </w:t>
      </w:r>
      <w:r w:rsidR="00016F7E" w:rsidRPr="00354A6F">
        <w:rPr>
          <w:rFonts w:ascii="Arial" w:hAnsi="Arial" w:cs="Arial"/>
          <w:sz w:val="20"/>
          <w:szCs w:val="20"/>
        </w:rPr>
        <w:t>26</w:t>
      </w:r>
      <w:r w:rsidR="00016F7E" w:rsidRPr="00354A6F">
        <w:rPr>
          <w:rFonts w:ascii="Arial" w:hAnsi="Arial" w:cs="Arial"/>
          <w:sz w:val="20"/>
          <w:szCs w:val="20"/>
          <w:vertAlign w:val="superscript"/>
        </w:rPr>
        <w:t>th</w:t>
      </w:r>
      <w:r w:rsidR="00016F7E" w:rsidRPr="00354A6F">
        <w:rPr>
          <w:rFonts w:ascii="Arial" w:hAnsi="Arial" w:cs="Arial"/>
          <w:sz w:val="20"/>
          <w:szCs w:val="20"/>
        </w:rPr>
        <w:t xml:space="preserve"> July</w:t>
      </w:r>
      <w:r w:rsidR="000E0339" w:rsidRPr="00354A6F">
        <w:rPr>
          <w:rFonts w:ascii="Arial" w:hAnsi="Arial" w:cs="Arial"/>
          <w:sz w:val="20"/>
          <w:szCs w:val="20"/>
        </w:rPr>
        <w:t>, 2020</w:t>
      </w:r>
      <w:r w:rsidR="00E80236">
        <w:rPr>
          <w:rFonts w:ascii="Arial" w:hAnsi="Arial" w:cs="Arial"/>
          <w:sz w:val="20"/>
          <w:szCs w:val="20"/>
        </w:rPr>
        <w:t xml:space="preserve">.  The service </w:t>
      </w:r>
      <w:r w:rsidR="00EF3BA3">
        <w:rPr>
          <w:rFonts w:ascii="Arial" w:hAnsi="Arial" w:cs="Arial"/>
          <w:sz w:val="20"/>
          <w:szCs w:val="20"/>
        </w:rPr>
        <w:t xml:space="preserve">for these employees </w:t>
      </w:r>
      <w:r w:rsidR="00E80236">
        <w:rPr>
          <w:rFonts w:ascii="Arial" w:hAnsi="Arial" w:cs="Arial"/>
          <w:sz w:val="20"/>
          <w:szCs w:val="20"/>
        </w:rPr>
        <w:t xml:space="preserve">will be known as </w:t>
      </w:r>
      <w:r w:rsidR="00A84228">
        <w:rPr>
          <w:rFonts w:ascii="Arial" w:hAnsi="Arial" w:cs="Arial"/>
          <w:sz w:val="20"/>
          <w:szCs w:val="20"/>
        </w:rPr>
        <w:t xml:space="preserve">‘Wellbeing Together: </w:t>
      </w:r>
      <w:proofErr w:type="spellStart"/>
      <w:r w:rsidR="00A84228">
        <w:rPr>
          <w:rFonts w:ascii="Arial" w:hAnsi="Arial" w:cs="Arial"/>
          <w:sz w:val="20"/>
          <w:szCs w:val="20"/>
        </w:rPr>
        <w:t>Folláin</w:t>
      </w:r>
      <w:r w:rsidRPr="00354A6F">
        <w:rPr>
          <w:rFonts w:ascii="Arial" w:hAnsi="Arial" w:cs="Arial"/>
          <w:sz w:val="20"/>
          <w:szCs w:val="20"/>
        </w:rPr>
        <w:t>e</w:t>
      </w:r>
      <w:proofErr w:type="spellEnd"/>
      <w:r w:rsidRPr="00354A6F">
        <w:rPr>
          <w:rFonts w:ascii="Arial" w:hAnsi="Arial" w:cs="Arial"/>
          <w:sz w:val="20"/>
          <w:szCs w:val="20"/>
        </w:rPr>
        <w:t xml:space="preserve"> l</w:t>
      </w:r>
      <w:r w:rsidR="000E0339" w:rsidRPr="00354A6F">
        <w:rPr>
          <w:rFonts w:ascii="Arial" w:hAnsi="Arial" w:cs="Arial"/>
          <w:sz w:val="20"/>
          <w:szCs w:val="20"/>
        </w:rPr>
        <w:t xml:space="preserve">e </w:t>
      </w:r>
      <w:proofErr w:type="spellStart"/>
      <w:r w:rsidR="000E0339" w:rsidRPr="00354A6F">
        <w:rPr>
          <w:rFonts w:ascii="Arial" w:hAnsi="Arial" w:cs="Arial"/>
          <w:sz w:val="20"/>
          <w:szCs w:val="20"/>
        </w:rPr>
        <w:t>Chéile</w:t>
      </w:r>
      <w:proofErr w:type="spellEnd"/>
      <w:r w:rsidR="000E0339" w:rsidRPr="00354A6F">
        <w:rPr>
          <w:rFonts w:ascii="Arial" w:hAnsi="Arial" w:cs="Arial"/>
          <w:sz w:val="20"/>
          <w:szCs w:val="20"/>
        </w:rPr>
        <w:t xml:space="preserve">’. </w:t>
      </w:r>
    </w:p>
    <w:p w14:paraId="2811DF4B" w14:textId="55AC2062" w:rsidR="00B95C7E" w:rsidRPr="00354A6F" w:rsidRDefault="00EF3BA3" w:rsidP="00EF3BA3">
      <w:pPr>
        <w:pStyle w:val="ListParagraph"/>
        <w:spacing w:before="100" w:beforeAutospacing="1" w:after="100" w:afterAutospacing="1" w:line="240" w:lineRule="auto"/>
        <w:ind w:left="567" w:hanging="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</w:t>
      </w:r>
      <w:r>
        <w:rPr>
          <w:rFonts w:ascii="Arial" w:hAnsi="Arial" w:cs="Arial"/>
          <w:b/>
          <w:sz w:val="20"/>
          <w:szCs w:val="20"/>
        </w:rPr>
        <w:tab/>
      </w:r>
      <w:r w:rsidR="00AB6844" w:rsidRPr="00354A6F">
        <w:rPr>
          <w:rFonts w:ascii="Arial" w:hAnsi="Arial" w:cs="Arial"/>
          <w:b/>
          <w:sz w:val="20"/>
          <w:szCs w:val="20"/>
        </w:rPr>
        <w:t>EAS</w:t>
      </w:r>
      <w:bookmarkStart w:id="0" w:name="_GoBack"/>
      <w:bookmarkEnd w:id="0"/>
    </w:p>
    <w:p w14:paraId="56044C53" w14:textId="6AEA5A77" w:rsidR="00A24074" w:rsidRPr="00354A6F" w:rsidRDefault="00A24074" w:rsidP="00A24074">
      <w:pPr>
        <w:spacing w:before="100" w:beforeAutospacing="1" w:after="100" w:afterAutospacing="1" w:line="240" w:lineRule="auto"/>
        <w:ind w:left="567" w:hanging="567"/>
        <w:rPr>
          <w:rFonts w:ascii="Arial" w:hAnsi="Arial" w:cs="Arial"/>
          <w:sz w:val="20"/>
          <w:szCs w:val="20"/>
        </w:rPr>
      </w:pPr>
      <w:r w:rsidRPr="00354A6F">
        <w:rPr>
          <w:rFonts w:ascii="Arial" w:hAnsi="Arial" w:cs="Arial"/>
          <w:sz w:val="20"/>
          <w:szCs w:val="20"/>
        </w:rPr>
        <w:t>3.1</w:t>
      </w:r>
      <w:r w:rsidRPr="00354A6F">
        <w:rPr>
          <w:rFonts w:ascii="Arial" w:hAnsi="Arial" w:cs="Arial"/>
          <w:sz w:val="20"/>
          <w:szCs w:val="20"/>
        </w:rPr>
        <w:tab/>
      </w:r>
      <w:r w:rsidR="00AB6844" w:rsidRPr="00354A6F">
        <w:rPr>
          <w:rFonts w:ascii="Arial" w:hAnsi="Arial" w:cs="Arial"/>
          <w:sz w:val="20"/>
          <w:szCs w:val="20"/>
        </w:rPr>
        <w:t xml:space="preserve">The EAS is </w:t>
      </w:r>
      <w:r w:rsidR="000E0339" w:rsidRPr="00354A6F">
        <w:rPr>
          <w:rFonts w:ascii="Arial" w:hAnsi="Arial" w:cs="Arial"/>
          <w:sz w:val="20"/>
          <w:szCs w:val="20"/>
        </w:rPr>
        <w:t>a self-referral service</w:t>
      </w:r>
      <w:r w:rsidRPr="00354A6F">
        <w:rPr>
          <w:rFonts w:ascii="Arial" w:hAnsi="Arial" w:cs="Arial"/>
          <w:sz w:val="20"/>
          <w:szCs w:val="20"/>
        </w:rPr>
        <w:t xml:space="preserve"> where</w:t>
      </w:r>
      <w:r w:rsidR="000E0339" w:rsidRPr="00354A6F">
        <w:rPr>
          <w:rFonts w:ascii="Arial" w:hAnsi="Arial" w:cs="Arial"/>
          <w:sz w:val="20"/>
          <w:szCs w:val="20"/>
        </w:rPr>
        <w:t xml:space="preserve"> employees have access to a dedicated free-phone confidential helpline 1800 411 057</w:t>
      </w:r>
      <w:r w:rsidR="0012687E">
        <w:rPr>
          <w:rFonts w:ascii="Arial" w:hAnsi="Arial" w:cs="Arial"/>
          <w:sz w:val="20"/>
          <w:szCs w:val="20"/>
        </w:rPr>
        <w:t>,</w:t>
      </w:r>
      <w:r w:rsidR="000E0339" w:rsidRPr="00354A6F">
        <w:rPr>
          <w:rFonts w:ascii="Arial" w:hAnsi="Arial" w:cs="Arial"/>
          <w:sz w:val="20"/>
          <w:szCs w:val="20"/>
        </w:rPr>
        <w:t xml:space="preserve"> available 24 hours a day, 365 days a year</w:t>
      </w:r>
      <w:r w:rsidRPr="00354A6F">
        <w:rPr>
          <w:rFonts w:ascii="Arial" w:hAnsi="Arial" w:cs="Arial"/>
          <w:sz w:val="20"/>
          <w:szCs w:val="20"/>
        </w:rPr>
        <w:t xml:space="preserve">.  Each telephone </w:t>
      </w:r>
      <w:proofErr w:type="gramStart"/>
      <w:r w:rsidRPr="00354A6F">
        <w:rPr>
          <w:rFonts w:ascii="Arial" w:hAnsi="Arial" w:cs="Arial"/>
          <w:sz w:val="20"/>
          <w:szCs w:val="20"/>
        </w:rPr>
        <w:t>call</w:t>
      </w:r>
      <w:proofErr w:type="gramEnd"/>
      <w:r w:rsidRPr="00354A6F">
        <w:rPr>
          <w:rFonts w:ascii="Arial" w:hAnsi="Arial" w:cs="Arial"/>
          <w:sz w:val="20"/>
          <w:szCs w:val="20"/>
        </w:rPr>
        <w:t xml:space="preserve"> is answered by a Case Manager who is a qualified counsellor. Employees can also text ‘Hi’ to 087 369 0010 to avail of EAS support on SMS &amp; WhatsApp.</w:t>
      </w:r>
    </w:p>
    <w:p w14:paraId="7147E0FE" w14:textId="49FE7F05" w:rsidR="00B95C7E" w:rsidRPr="00354A6F" w:rsidRDefault="00354A6F" w:rsidP="00354A6F">
      <w:pPr>
        <w:spacing w:before="100" w:beforeAutospacing="1" w:after="100" w:afterAutospacing="1" w:line="240" w:lineRule="auto"/>
        <w:ind w:left="567" w:hanging="567"/>
        <w:rPr>
          <w:rFonts w:ascii="Arial" w:hAnsi="Arial" w:cs="Arial"/>
          <w:sz w:val="20"/>
          <w:szCs w:val="20"/>
        </w:rPr>
      </w:pPr>
      <w:r w:rsidRPr="00354A6F">
        <w:rPr>
          <w:rFonts w:ascii="Arial" w:hAnsi="Arial" w:cs="Arial"/>
          <w:sz w:val="20"/>
          <w:szCs w:val="20"/>
        </w:rPr>
        <w:t>3.2</w:t>
      </w:r>
      <w:r w:rsidRPr="00354A6F">
        <w:rPr>
          <w:rFonts w:ascii="Arial" w:hAnsi="Arial" w:cs="Arial"/>
          <w:sz w:val="20"/>
          <w:szCs w:val="20"/>
        </w:rPr>
        <w:tab/>
      </w:r>
      <w:r w:rsidR="00A24074" w:rsidRPr="00354A6F">
        <w:rPr>
          <w:rFonts w:ascii="Arial" w:hAnsi="Arial" w:cs="Arial"/>
          <w:sz w:val="20"/>
          <w:szCs w:val="20"/>
        </w:rPr>
        <w:t>The EAS provides</w:t>
      </w:r>
      <w:r w:rsidR="000E0339" w:rsidRPr="00354A6F">
        <w:rPr>
          <w:rFonts w:ascii="Arial" w:hAnsi="Arial" w:cs="Arial"/>
          <w:sz w:val="20"/>
          <w:szCs w:val="20"/>
        </w:rPr>
        <w:t xml:space="preserve"> </w:t>
      </w:r>
      <w:r w:rsidR="00B95C7E" w:rsidRPr="00354A6F">
        <w:rPr>
          <w:rFonts w:ascii="Arial" w:hAnsi="Arial" w:cs="Arial"/>
          <w:sz w:val="20"/>
          <w:szCs w:val="20"/>
        </w:rPr>
        <w:t>advice</w:t>
      </w:r>
      <w:r w:rsidRPr="00354A6F">
        <w:rPr>
          <w:rFonts w:ascii="Arial" w:hAnsi="Arial" w:cs="Arial"/>
          <w:sz w:val="20"/>
          <w:szCs w:val="20"/>
        </w:rPr>
        <w:t xml:space="preserve"> to employees</w:t>
      </w:r>
      <w:r w:rsidR="00B95C7E" w:rsidRPr="00354A6F">
        <w:rPr>
          <w:rFonts w:ascii="Arial" w:hAnsi="Arial" w:cs="Arial"/>
          <w:sz w:val="20"/>
          <w:szCs w:val="20"/>
        </w:rPr>
        <w:t xml:space="preserve"> on a range of issues including</w:t>
      </w:r>
      <w:r w:rsidR="000E0339" w:rsidRPr="00354A6F">
        <w:rPr>
          <w:rFonts w:ascii="Arial" w:hAnsi="Arial" w:cs="Arial"/>
          <w:sz w:val="20"/>
          <w:szCs w:val="20"/>
        </w:rPr>
        <w:t xml:space="preserve"> wellbeing, legal, financial, </w:t>
      </w:r>
      <w:r w:rsidR="00B95C7E" w:rsidRPr="00354A6F">
        <w:rPr>
          <w:rFonts w:ascii="Arial" w:hAnsi="Arial" w:cs="Arial"/>
          <w:sz w:val="20"/>
          <w:szCs w:val="20"/>
        </w:rPr>
        <w:t xml:space="preserve">bereavement, </w:t>
      </w:r>
      <w:r>
        <w:rPr>
          <w:rFonts w:ascii="Arial" w:hAnsi="Arial" w:cs="Arial"/>
          <w:sz w:val="20"/>
          <w:szCs w:val="20"/>
        </w:rPr>
        <w:t xml:space="preserve">conflict, </w:t>
      </w:r>
      <w:r w:rsidR="00B95C7E" w:rsidRPr="00354A6F">
        <w:rPr>
          <w:rFonts w:ascii="Arial" w:hAnsi="Arial" w:cs="Arial"/>
          <w:sz w:val="20"/>
          <w:szCs w:val="20"/>
        </w:rPr>
        <w:t xml:space="preserve">mediation and </w:t>
      </w:r>
      <w:r w:rsidRPr="00354A6F">
        <w:rPr>
          <w:rFonts w:ascii="Arial" w:hAnsi="Arial" w:cs="Arial"/>
          <w:sz w:val="20"/>
          <w:szCs w:val="20"/>
        </w:rPr>
        <w:t>also pr</w:t>
      </w:r>
      <w:r>
        <w:rPr>
          <w:rFonts w:ascii="Arial" w:hAnsi="Arial" w:cs="Arial"/>
          <w:sz w:val="20"/>
          <w:szCs w:val="20"/>
        </w:rPr>
        <w:t xml:space="preserve">ovides </w:t>
      </w:r>
      <w:r w:rsidR="00B95C7E" w:rsidRPr="00354A6F">
        <w:rPr>
          <w:rFonts w:ascii="Arial" w:hAnsi="Arial" w:cs="Arial"/>
          <w:sz w:val="20"/>
          <w:szCs w:val="20"/>
        </w:rPr>
        <w:t>support</w:t>
      </w:r>
      <w:r>
        <w:rPr>
          <w:rFonts w:ascii="Arial" w:hAnsi="Arial" w:cs="Arial"/>
          <w:sz w:val="20"/>
          <w:szCs w:val="20"/>
        </w:rPr>
        <w:t xml:space="preserve"> and advice to managers</w:t>
      </w:r>
      <w:r w:rsidR="000E0339" w:rsidRPr="00354A6F">
        <w:rPr>
          <w:rFonts w:ascii="Arial" w:hAnsi="Arial" w:cs="Arial"/>
          <w:sz w:val="20"/>
          <w:szCs w:val="20"/>
        </w:rPr>
        <w:t xml:space="preserve">.  </w:t>
      </w:r>
    </w:p>
    <w:p w14:paraId="06ADF323" w14:textId="467DCE47" w:rsidR="00B95C7E" w:rsidRPr="00354A6F" w:rsidRDefault="00354A6F" w:rsidP="00AB6844">
      <w:pPr>
        <w:spacing w:after="264"/>
        <w:ind w:left="567" w:hanging="567"/>
        <w:rPr>
          <w:rFonts w:ascii="Arial" w:hAnsi="Arial" w:cs="Arial"/>
          <w:sz w:val="20"/>
          <w:szCs w:val="20"/>
        </w:rPr>
      </w:pPr>
      <w:r w:rsidRPr="00354A6F">
        <w:rPr>
          <w:rFonts w:ascii="Arial" w:hAnsi="Arial" w:cs="Arial"/>
          <w:sz w:val="20"/>
          <w:szCs w:val="20"/>
        </w:rPr>
        <w:t>3.3</w:t>
      </w:r>
      <w:r w:rsidR="00AB6844" w:rsidRPr="00354A6F">
        <w:rPr>
          <w:rFonts w:ascii="Arial" w:hAnsi="Arial" w:cs="Arial"/>
          <w:sz w:val="20"/>
          <w:szCs w:val="20"/>
        </w:rPr>
        <w:tab/>
      </w:r>
      <w:r w:rsidR="00B95C7E" w:rsidRPr="00354A6F">
        <w:rPr>
          <w:rFonts w:ascii="Arial" w:hAnsi="Arial" w:cs="Arial"/>
          <w:sz w:val="20"/>
          <w:szCs w:val="20"/>
        </w:rPr>
        <w:t>Where appropriate</w:t>
      </w:r>
      <w:r w:rsidR="000E0339" w:rsidRPr="00354A6F">
        <w:rPr>
          <w:rFonts w:ascii="Arial" w:hAnsi="Arial" w:cs="Arial"/>
          <w:sz w:val="20"/>
          <w:szCs w:val="20"/>
        </w:rPr>
        <w:t xml:space="preserve">, short-term counselling is available to employees and their family members. </w:t>
      </w:r>
      <w:r w:rsidR="00E80236" w:rsidRPr="00EF3BA3">
        <w:rPr>
          <w:rFonts w:ascii="Arial" w:hAnsi="Arial" w:cs="Arial"/>
          <w:sz w:val="20"/>
          <w:szCs w:val="20"/>
        </w:rPr>
        <w:t xml:space="preserve">A family member includes a spouse, civil partner or dependent, where the family member can be described as a person over the age of 18 and residing at the family home.   </w:t>
      </w:r>
    </w:p>
    <w:p w14:paraId="2EE15F69" w14:textId="5C4EB18E" w:rsidR="000E0339" w:rsidRPr="0012311F" w:rsidRDefault="00354A6F" w:rsidP="00FC2651">
      <w:pPr>
        <w:spacing w:after="264"/>
        <w:ind w:left="567" w:hanging="567"/>
        <w:rPr>
          <w:rFonts w:ascii="Arial" w:hAnsi="Arial" w:cs="Arial"/>
          <w:sz w:val="20"/>
          <w:szCs w:val="20"/>
        </w:rPr>
      </w:pPr>
      <w:r w:rsidRPr="00354A6F">
        <w:rPr>
          <w:rFonts w:ascii="Arial" w:hAnsi="Arial" w:cs="Arial"/>
          <w:sz w:val="20"/>
          <w:szCs w:val="20"/>
        </w:rPr>
        <w:t>3.4</w:t>
      </w:r>
      <w:r w:rsidR="00AB6844" w:rsidRPr="00354A6F">
        <w:rPr>
          <w:rFonts w:ascii="Arial" w:hAnsi="Arial" w:cs="Arial"/>
          <w:sz w:val="20"/>
          <w:szCs w:val="20"/>
        </w:rPr>
        <w:tab/>
      </w:r>
      <w:proofErr w:type="spellStart"/>
      <w:r w:rsidR="00A24074" w:rsidRPr="00354A6F">
        <w:rPr>
          <w:rFonts w:ascii="Arial" w:hAnsi="Arial" w:cs="Arial"/>
          <w:sz w:val="20"/>
          <w:szCs w:val="20"/>
        </w:rPr>
        <w:t>Spectrum.Life</w:t>
      </w:r>
      <w:proofErr w:type="spellEnd"/>
      <w:r w:rsidR="00A24074" w:rsidRPr="00354A6F">
        <w:rPr>
          <w:rFonts w:ascii="Arial" w:hAnsi="Arial" w:cs="Arial"/>
          <w:sz w:val="20"/>
          <w:szCs w:val="20"/>
        </w:rPr>
        <w:t xml:space="preserve"> provides a tailored service to cater for </w:t>
      </w:r>
      <w:r w:rsidR="00A24074" w:rsidRPr="00FC2651">
        <w:rPr>
          <w:rFonts w:ascii="Arial" w:hAnsi="Arial" w:cs="Arial"/>
          <w:sz w:val="20"/>
          <w:szCs w:val="20"/>
        </w:rPr>
        <w:t xml:space="preserve">employee’s specific wellbeing needs.  </w:t>
      </w:r>
      <w:r w:rsidR="000E0339" w:rsidRPr="00FC2651">
        <w:rPr>
          <w:rFonts w:ascii="Arial" w:hAnsi="Arial" w:cs="Arial"/>
          <w:sz w:val="20"/>
          <w:szCs w:val="20"/>
        </w:rPr>
        <w:t xml:space="preserve">A bespoke </w:t>
      </w:r>
      <w:r w:rsidR="000E0339" w:rsidRPr="0012311F">
        <w:rPr>
          <w:rFonts w:ascii="Arial" w:hAnsi="Arial" w:cs="Arial"/>
          <w:sz w:val="20"/>
          <w:szCs w:val="20"/>
        </w:rPr>
        <w:t xml:space="preserve">wellbeing portal and app </w:t>
      </w:r>
      <w:r w:rsidR="0012311F" w:rsidRPr="0012311F">
        <w:rPr>
          <w:rFonts w:ascii="Arial" w:hAnsi="Arial" w:cs="Arial"/>
          <w:sz w:val="20"/>
          <w:szCs w:val="20"/>
        </w:rPr>
        <w:t xml:space="preserve">is available </w:t>
      </w:r>
      <w:r w:rsidR="005114D6" w:rsidRPr="0012311F">
        <w:rPr>
          <w:rFonts w:ascii="Arial" w:hAnsi="Arial" w:cs="Arial"/>
          <w:sz w:val="20"/>
          <w:szCs w:val="20"/>
        </w:rPr>
        <w:t xml:space="preserve">offering a host of online services with </w:t>
      </w:r>
      <w:r w:rsidR="000E0339" w:rsidRPr="0012311F">
        <w:rPr>
          <w:rFonts w:ascii="Arial" w:hAnsi="Arial" w:cs="Arial"/>
          <w:sz w:val="20"/>
          <w:szCs w:val="20"/>
        </w:rPr>
        <w:t xml:space="preserve">access to </w:t>
      </w:r>
      <w:r w:rsidR="00B95C7E" w:rsidRPr="0012311F">
        <w:rPr>
          <w:rFonts w:ascii="Arial" w:hAnsi="Arial" w:cs="Arial"/>
          <w:sz w:val="20"/>
          <w:szCs w:val="20"/>
        </w:rPr>
        <w:t xml:space="preserve">live chats, </w:t>
      </w:r>
      <w:r w:rsidR="00A24074" w:rsidRPr="0012311F">
        <w:rPr>
          <w:rFonts w:ascii="Arial" w:hAnsi="Arial" w:cs="Arial"/>
          <w:sz w:val="20"/>
          <w:szCs w:val="20"/>
        </w:rPr>
        <w:t xml:space="preserve">videos, </w:t>
      </w:r>
      <w:r w:rsidR="000E0339" w:rsidRPr="0012311F">
        <w:rPr>
          <w:rFonts w:ascii="Arial" w:hAnsi="Arial" w:cs="Arial"/>
          <w:sz w:val="20"/>
          <w:szCs w:val="20"/>
        </w:rPr>
        <w:t>podcasts and blogs on topics around mental health, family life, exercise and nutrition.</w:t>
      </w:r>
      <w:r w:rsidR="00FC2651" w:rsidRPr="0012311F">
        <w:rPr>
          <w:rFonts w:ascii="Arial" w:hAnsi="Arial" w:cs="Arial"/>
          <w:sz w:val="20"/>
          <w:szCs w:val="20"/>
        </w:rPr>
        <w:t xml:space="preserve"> In addition, online cognitive behavioural therapy is also provided to employees.   </w:t>
      </w:r>
      <w:r w:rsidR="00FC2651" w:rsidRPr="0012311F">
        <w:rPr>
          <w:rFonts w:ascii="Arial" w:hAnsi="Arial" w:cs="Arial"/>
          <w:sz w:val="20"/>
          <w:szCs w:val="20"/>
          <w:bdr w:val="none" w:sz="0" w:space="0" w:color="auto" w:frame="1"/>
          <w:lang w:val="en-US"/>
        </w:rPr>
        <w:t>The platform is available via Web, iOS App or Android App.</w:t>
      </w:r>
    </w:p>
    <w:p w14:paraId="5DB474EC" w14:textId="1AECCC7C" w:rsidR="0012311F" w:rsidRPr="0012311F" w:rsidRDefault="00D520B2" w:rsidP="0012311F">
      <w:pPr>
        <w:pStyle w:val="default0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3.5</w:t>
      </w:r>
      <w:r w:rsidR="00AB6844" w:rsidRPr="0012311F">
        <w:rPr>
          <w:rFonts w:ascii="Arial" w:hAnsi="Arial" w:cs="Arial"/>
          <w:color w:val="auto"/>
          <w:sz w:val="20"/>
          <w:szCs w:val="20"/>
        </w:rPr>
        <w:tab/>
      </w:r>
      <w:r w:rsidR="000E0339" w:rsidRPr="0012311F">
        <w:rPr>
          <w:rFonts w:ascii="Arial" w:hAnsi="Arial" w:cs="Arial"/>
          <w:color w:val="auto"/>
          <w:sz w:val="20"/>
          <w:szCs w:val="20"/>
        </w:rPr>
        <w:t xml:space="preserve">As part of the EAS, a Mental Health Promotion Manager </w:t>
      </w:r>
      <w:r w:rsidR="0012311F" w:rsidRPr="0012311F">
        <w:rPr>
          <w:rFonts w:ascii="Arial" w:hAnsi="Arial" w:cs="Arial"/>
          <w:sz w:val="20"/>
          <w:szCs w:val="20"/>
        </w:rPr>
        <w:t>is also available to develop and deliver evidence based mental health and wellbeing initiatives to reduce stigma and improve mental health and literacy and to increase engagement with the service. </w:t>
      </w:r>
      <w:proofErr w:type="spellStart"/>
      <w:r w:rsidR="0012311F" w:rsidRPr="0012311F">
        <w:rPr>
          <w:rFonts w:ascii="Arial" w:hAnsi="Arial" w:cs="Arial"/>
          <w:sz w:val="20"/>
          <w:szCs w:val="20"/>
        </w:rPr>
        <w:t>Spectrum.Life</w:t>
      </w:r>
      <w:proofErr w:type="spellEnd"/>
      <w:r w:rsidR="0012311F" w:rsidRPr="0012311F">
        <w:rPr>
          <w:rFonts w:ascii="Arial" w:hAnsi="Arial" w:cs="Arial"/>
          <w:sz w:val="20"/>
          <w:szCs w:val="20"/>
        </w:rPr>
        <w:t xml:space="preserve"> will also be providing a series of webinars and presentations t</w:t>
      </w:r>
      <w:r w:rsidR="00840968">
        <w:rPr>
          <w:rFonts w:ascii="Arial" w:hAnsi="Arial" w:cs="Arial"/>
          <w:sz w:val="20"/>
          <w:szCs w:val="20"/>
        </w:rPr>
        <w:t>o promote wellbeing in schools during the upcoming school year.</w:t>
      </w:r>
    </w:p>
    <w:p w14:paraId="20EC28ED" w14:textId="77777777" w:rsidR="0050533A" w:rsidRPr="00354A6F" w:rsidRDefault="0050533A" w:rsidP="00A45265">
      <w:pPr>
        <w:pStyle w:val="NoSpacing"/>
        <w:ind w:left="720"/>
        <w:rPr>
          <w:rFonts w:ascii="Arial" w:eastAsia="Times New Roman" w:hAnsi="Arial" w:cs="Arial"/>
          <w:sz w:val="20"/>
          <w:szCs w:val="20"/>
          <w:lang w:val="en-GB"/>
        </w:rPr>
      </w:pPr>
    </w:p>
    <w:p w14:paraId="15611F6F" w14:textId="77777777" w:rsidR="00665852" w:rsidRPr="00354A6F" w:rsidRDefault="00E53933" w:rsidP="00B0626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354A6F">
        <w:rPr>
          <w:rFonts w:ascii="Arial" w:eastAsia="Times New Roman" w:hAnsi="Arial" w:cs="Arial"/>
          <w:sz w:val="20"/>
          <w:szCs w:val="20"/>
        </w:rPr>
        <w:t>Alfie Barrett</w:t>
      </w:r>
      <w:r w:rsidR="007F6F4E" w:rsidRPr="00354A6F">
        <w:rPr>
          <w:rFonts w:ascii="Arial" w:eastAsia="Times New Roman" w:hAnsi="Arial" w:cs="Arial"/>
          <w:sz w:val="20"/>
          <w:szCs w:val="20"/>
        </w:rPr>
        <w:tab/>
      </w:r>
      <w:r w:rsidR="007F6F4E" w:rsidRPr="00354A6F">
        <w:rPr>
          <w:rFonts w:ascii="Arial" w:eastAsia="Times New Roman" w:hAnsi="Arial" w:cs="Arial"/>
          <w:sz w:val="20"/>
          <w:szCs w:val="20"/>
        </w:rPr>
        <w:tab/>
      </w:r>
      <w:r w:rsidR="007F6F4E" w:rsidRPr="00354A6F">
        <w:rPr>
          <w:rFonts w:ascii="Arial" w:eastAsia="Times New Roman" w:hAnsi="Arial" w:cs="Arial"/>
          <w:sz w:val="20"/>
          <w:szCs w:val="20"/>
        </w:rPr>
        <w:tab/>
      </w:r>
      <w:r w:rsidR="007F6F4E" w:rsidRPr="00354A6F">
        <w:rPr>
          <w:rFonts w:ascii="Arial" w:eastAsia="Times New Roman" w:hAnsi="Arial" w:cs="Arial"/>
          <w:sz w:val="20"/>
          <w:szCs w:val="20"/>
        </w:rPr>
        <w:tab/>
      </w:r>
      <w:r w:rsidR="007F6F4E" w:rsidRPr="00354A6F">
        <w:rPr>
          <w:rFonts w:ascii="Arial" w:eastAsia="Times New Roman" w:hAnsi="Arial" w:cs="Arial"/>
          <w:sz w:val="20"/>
          <w:szCs w:val="20"/>
        </w:rPr>
        <w:tab/>
      </w:r>
      <w:r w:rsidR="007F6F4E" w:rsidRPr="00354A6F">
        <w:rPr>
          <w:rFonts w:ascii="Arial" w:eastAsia="Times New Roman" w:hAnsi="Arial" w:cs="Arial"/>
          <w:sz w:val="20"/>
          <w:szCs w:val="20"/>
        </w:rPr>
        <w:tab/>
      </w:r>
      <w:r w:rsidR="007F6F4E" w:rsidRPr="00354A6F">
        <w:rPr>
          <w:rFonts w:ascii="Arial" w:eastAsia="Times New Roman" w:hAnsi="Arial" w:cs="Arial"/>
          <w:sz w:val="20"/>
          <w:szCs w:val="20"/>
        </w:rPr>
        <w:tab/>
      </w:r>
      <w:r w:rsidR="007F6F4E" w:rsidRPr="00354A6F">
        <w:rPr>
          <w:rFonts w:ascii="Arial" w:eastAsia="Times New Roman" w:hAnsi="Arial" w:cs="Arial"/>
          <w:sz w:val="20"/>
          <w:szCs w:val="20"/>
        </w:rPr>
        <w:tab/>
      </w:r>
      <w:r w:rsidR="007F6F4E" w:rsidRPr="00354A6F">
        <w:rPr>
          <w:rFonts w:ascii="Arial" w:eastAsia="Times New Roman" w:hAnsi="Arial" w:cs="Arial"/>
          <w:sz w:val="20"/>
          <w:szCs w:val="20"/>
        </w:rPr>
        <w:tab/>
      </w:r>
    </w:p>
    <w:p w14:paraId="6EE33324" w14:textId="77777777" w:rsidR="00665852" w:rsidRPr="00354A6F" w:rsidRDefault="00F107FB" w:rsidP="00B0626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354A6F">
        <w:rPr>
          <w:rFonts w:ascii="Arial" w:eastAsia="Times New Roman" w:hAnsi="Arial" w:cs="Arial"/>
          <w:sz w:val="20"/>
          <w:szCs w:val="20"/>
        </w:rPr>
        <w:t>Principal Officer</w:t>
      </w:r>
      <w:r w:rsidR="00E53933" w:rsidRPr="00354A6F">
        <w:rPr>
          <w:rFonts w:ascii="Arial" w:eastAsia="Times New Roman" w:hAnsi="Arial" w:cs="Arial"/>
          <w:sz w:val="20"/>
          <w:szCs w:val="20"/>
        </w:rPr>
        <w:t xml:space="preserve">  </w:t>
      </w:r>
      <w:r w:rsidR="00E53933" w:rsidRPr="00354A6F">
        <w:rPr>
          <w:rFonts w:ascii="Arial" w:eastAsia="Times New Roman" w:hAnsi="Arial" w:cs="Arial"/>
          <w:sz w:val="20"/>
          <w:szCs w:val="20"/>
        </w:rPr>
        <w:tab/>
      </w:r>
      <w:r w:rsidR="00E53933" w:rsidRPr="00354A6F">
        <w:rPr>
          <w:rFonts w:ascii="Arial" w:eastAsia="Times New Roman" w:hAnsi="Arial" w:cs="Arial"/>
          <w:sz w:val="20"/>
          <w:szCs w:val="20"/>
        </w:rPr>
        <w:tab/>
      </w:r>
      <w:r w:rsidR="00E53933" w:rsidRPr="00354A6F">
        <w:rPr>
          <w:rFonts w:ascii="Arial" w:eastAsia="Times New Roman" w:hAnsi="Arial" w:cs="Arial"/>
          <w:sz w:val="20"/>
          <w:szCs w:val="20"/>
        </w:rPr>
        <w:tab/>
      </w:r>
      <w:r w:rsidR="007F6F4E" w:rsidRPr="00354A6F">
        <w:rPr>
          <w:rFonts w:ascii="Arial" w:eastAsia="Times New Roman" w:hAnsi="Arial" w:cs="Arial"/>
          <w:sz w:val="20"/>
          <w:szCs w:val="20"/>
        </w:rPr>
        <w:tab/>
      </w:r>
      <w:r w:rsidR="007F6F4E" w:rsidRPr="00354A6F">
        <w:rPr>
          <w:rFonts w:ascii="Arial" w:eastAsia="Times New Roman" w:hAnsi="Arial" w:cs="Arial"/>
          <w:sz w:val="20"/>
          <w:szCs w:val="20"/>
        </w:rPr>
        <w:tab/>
      </w:r>
      <w:r w:rsidR="007F6F4E" w:rsidRPr="00354A6F">
        <w:rPr>
          <w:rFonts w:ascii="Arial" w:eastAsia="Times New Roman" w:hAnsi="Arial" w:cs="Arial"/>
          <w:sz w:val="20"/>
          <w:szCs w:val="20"/>
        </w:rPr>
        <w:tab/>
      </w:r>
      <w:r w:rsidR="00E53933" w:rsidRPr="00354A6F">
        <w:rPr>
          <w:rFonts w:ascii="Arial" w:eastAsia="Times New Roman" w:hAnsi="Arial" w:cs="Arial"/>
          <w:sz w:val="20"/>
          <w:szCs w:val="20"/>
        </w:rPr>
        <w:tab/>
      </w:r>
    </w:p>
    <w:p w14:paraId="12E15EDD" w14:textId="77777777" w:rsidR="00840968" w:rsidRDefault="00BB2E18" w:rsidP="00B0626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354A6F">
        <w:rPr>
          <w:rFonts w:ascii="Arial" w:eastAsia="Times New Roman" w:hAnsi="Arial" w:cs="Arial"/>
          <w:sz w:val="20"/>
          <w:szCs w:val="20"/>
        </w:rPr>
        <w:t>Teacher/SNA</w:t>
      </w:r>
      <w:r w:rsidR="00E53933" w:rsidRPr="00354A6F">
        <w:rPr>
          <w:rFonts w:ascii="Arial" w:eastAsia="Times New Roman" w:hAnsi="Arial" w:cs="Arial"/>
          <w:sz w:val="20"/>
          <w:szCs w:val="20"/>
        </w:rPr>
        <w:t xml:space="preserve"> Terms &amp; Conditions</w:t>
      </w:r>
      <w:r w:rsidR="00884D89" w:rsidRPr="00354A6F">
        <w:rPr>
          <w:rFonts w:ascii="Arial" w:eastAsia="Times New Roman" w:hAnsi="Arial" w:cs="Arial"/>
          <w:sz w:val="20"/>
          <w:szCs w:val="20"/>
        </w:rPr>
        <w:t xml:space="preserve"> Section</w:t>
      </w:r>
      <w:r w:rsidR="00E53933" w:rsidRPr="00354A6F">
        <w:rPr>
          <w:rFonts w:ascii="Arial" w:eastAsia="Times New Roman" w:hAnsi="Arial" w:cs="Arial"/>
          <w:sz w:val="20"/>
          <w:szCs w:val="20"/>
        </w:rPr>
        <w:tab/>
      </w:r>
    </w:p>
    <w:p w14:paraId="283DB292" w14:textId="1D69EE5F" w:rsidR="00C75DD6" w:rsidRPr="00B95C7E" w:rsidRDefault="00840968" w:rsidP="00B06264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sz w:val="20"/>
          <w:szCs w:val="20"/>
        </w:rPr>
        <w:t>24</w:t>
      </w:r>
      <w:r w:rsidRPr="00840968">
        <w:rPr>
          <w:rFonts w:ascii="Arial" w:eastAsia="Times New Roman" w:hAnsi="Arial" w:cs="Arial"/>
          <w:sz w:val="20"/>
          <w:szCs w:val="20"/>
          <w:vertAlign w:val="superscript"/>
        </w:rPr>
        <w:t>th</w:t>
      </w:r>
      <w:r>
        <w:rPr>
          <w:rFonts w:ascii="Arial" w:eastAsia="Times New Roman" w:hAnsi="Arial" w:cs="Arial"/>
          <w:sz w:val="20"/>
          <w:szCs w:val="20"/>
        </w:rPr>
        <w:t xml:space="preserve"> July</w:t>
      </w:r>
      <w:r w:rsidR="00F107FB" w:rsidRPr="00354A6F">
        <w:rPr>
          <w:rFonts w:ascii="Arial" w:eastAsia="Times New Roman" w:hAnsi="Arial" w:cs="Arial"/>
          <w:sz w:val="20"/>
          <w:szCs w:val="20"/>
        </w:rPr>
        <w:t>,</w:t>
      </w:r>
      <w:r w:rsidR="00630736" w:rsidRPr="00354A6F">
        <w:rPr>
          <w:rFonts w:ascii="Arial" w:eastAsia="Times New Roman" w:hAnsi="Arial" w:cs="Arial"/>
          <w:sz w:val="20"/>
          <w:szCs w:val="20"/>
        </w:rPr>
        <w:t xml:space="preserve"> </w:t>
      </w:r>
      <w:r w:rsidR="007F5232" w:rsidRPr="00354A6F">
        <w:rPr>
          <w:rFonts w:ascii="Arial" w:eastAsia="Times New Roman" w:hAnsi="Arial" w:cs="Arial"/>
          <w:sz w:val="20"/>
          <w:szCs w:val="20"/>
        </w:rPr>
        <w:t>2020</w:t>
      </w:r>
      <w:r w:rsidR="00BB2E18" w:rsidRPr="00354A6F">
        <w:rPr>
          <w:rFonts w:ascii="Arial" w:eastAsia="Times New Roman" w:hAnsi="Arial" w:cs="Arial"/>
          <w:sz w:val="20"/>
          <w:szCs w:val="20"/>
        </w:rPr>
        <w:tab/>
      </w:r>
      <w:r w:rsidR="00BB2E18" w:rsidRPr="00B95C7E">
        <w:rPr>
          <w:rFonts w:ascii="Arial" w:eastAsia="Times New Roman" w:hAnsi="Arial" w:cs="Arial"/>
        </w:rPr>
        <w:tab/>
      </w:r>
      <w:r w:rsidR="00BB2E18" w:rsidRPr="00B95C7E">
        <w:rPr>
          <w:rFonts w:ascii="Arial" w:eastAsia="Times New Roman" w:hAnsi="Arial" w:cs="Arial"/>
        </w:rPr>
        <w:tab/>
      </w:r>
      <w:r w:rsidR="00BB2E18" w:rsidRPr="00B95C7E">
        <w:rPr>
          <w:rFonts w:ascii="Arial" w:eastAsia="Times New Roman" w:hAnsi="Arial" w:cs="Arial"/>
        </w:rPr>
        <w:tab/>
      </w:r>
      <w:r w:rsidR="00BB2E18" w:rsidRPr="00B95C7E">
        <w:rPr>
          <w:rFonts w:ascii="Arial" w:eastAsia="Times New Roman" w:hAnsi="Arial" w:cs="Arial"/>
        </w:rPr>
        <w:tab/>
        <w:t xml:space="preserve">         </w:t>
      </w:r>
    </w:p>
    <w:sectPr w:rsidR="00C75DD6" w:rsidRPr="00B95C7E" w:rsidSect="003C40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B45BBD" w14:textId="77777777" w:rsidR="005F09ED" w:rsidRDefault="005F09ED" w:rsidP="00124E06">
      <w:pPr>
        <w:spacing w:after="0" w:line="240" w:lineRule="auto"/>
      </w:pPr>
      <w:r>
        <w:separator/>
      </w:r>
    </w:p>
  </w:endnote>
  <w:endnote w:type="continuationSeparator" w:id="0">
    <w:p w14:paraId="11ABBE1B" w14:textId="77777777" w:rsidR="005F09ED" w:rsidRDefault="005F09ED" w:rsidP="00124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EE0FD" w14:textId="77777777" w:rsidR="007F5232" w:rsidRDefault="007F52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8971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3249E4" w14:textId="4F4065A7" w:rsidR="00855A21" w:rsidRDefault="00855A2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422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CD4B3AC" w14:textId="77777777" w:rsidR="00855A21" w:rsidRDefault="00855A2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6AC7AE" w14:textId="77777777" w:rsidR="007F5232" w:rsidRDefault="007F52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945F6A" w14:textId="77777777" w:rsidR="005F09ED" w:rsidRDefault="005F09ED" w:rsidP="00124E06">
      <w:pPr>
        <w:spacing w:after="0" w:line="240" w:lineRule="auto"/>
      </w:pPr>
      <w:r>
        <w:separator/>
      </w:r>
    </w:p>
  </w:footnote>
  <w:footnote w:type="continuationSeparator" w:id="0">
    <w:p w14:paraId="41979717" w14:textId="77777777" w:rsidR="005F09ED" w:rsidRDefault="005F09ED" w:rsidP="00124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3EA33" w14:textId="77777777" w:rsidR="007F5232" w:rsidRDefault="007F52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4594632"/>
      <w:docPartObj>
        <w:docPartGallery w:val="Watermarks"/>
        <w:docPartUnique/>
      </w:docPartObj>
    </w:sdtPr>
    <w:sdtEndPr/>
    <w:sdtContent>
      <w:p w14:paraId="7D7778CB" w14:textId="358E04B9" w:rsidR="00124E06" w:rsidRDefault="00A84228">
        <w:pPr>
          <w:pStyle w:val="Header"/>
        </w:pPr>
        <w:r>
          <w:rPr>
            <w:noProof/>
            <w:lang w:val="en-US"/>
          </w:rPr>
          <w:pict w14:anchorId="5B7B299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4097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CB3D0" w14:textId="77777777" w:rsidR="007F5232" w:rsidRDefault="007F52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27986"/>
    <w:multiLevelType w:val="hybridMultilevel"/>
    <w:tmpl w:val="C0540510"/>
    <w:lvl w:ilvl="0" w:tplc="1809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1" w:tplc="420E5D3C">
      <w:numFmt w:val="bullet"/>
      <w:lvlText w:val=""/>
      <w:lvlJc w:val="left"/>
      <w:pPr>
        <w:ind w:left="6260" w:hanging="720"/>
      </w:pPr>
      <w:rPr>
        <w:rFonts w:ascii="Calibri" w:eastAsiaTheme="minorHAnsi" w:hAnsi="Calibri" w:cs="Calibri" w:hint="default"/>
      </w:rPr>
    </w:lvl>
    <w:lvl w:ilvl="2" w:tplc="1809001B" w:tentative="1">
      <w:start w:val="1"/>
      <w:numFmt w:val="lowerRoman"/>
      <w:lvlText w:val="%3."/>
      <w:lvlJc w:val="right"/>
      <w:pPr>
        <w:ind w:left="6620" w:hanging="180"/>
      </w:pPr>
    </w:lvl>
    <w:lvl w:ilvl="3" w:tplc="1809000F" w:tentative="1">
      <w:start w:val="1"/>
      <w:numFmt w:val="decimal"/>
      <w:lvlText w:val="%4."/>
      <w:lvlJc w:val="left"/>
      <w:pPr>
        <w:ind w:left="7340" w:hanging="360"/>
      </w:pPr>
    </w:lvl>
    <w:lvl w:ilvl="4" w:tplc="18090019" w:tentative="1">
      <w:start w:val="1"/>
      <w:numFmt w:val="lowerLetter"/>
      <w:lvlText w:val="%5."/>
      <w:lvlJc w:val="left"/>
      <w:pPr>
        <w:ind w:left="8060" w:hanging="360"/>
      </w:pPr>
    </w:lvl>
    <w:lvl w:ilvl="5" w:tplc="1809001B" w:tentative="1">
      <w:start w:val="1"/>
      <w:numFmt w:val="lowerRoman"/>
      <w:lvlText w:val="%6."/>
      <w:lvlJc w:val="right"/>
      <w:pPr>
        <w:ind w:left="8780" w:hanging="180"/>
      </w:pPr>
    </w:lvl>
    <w:lvl w:ilvl="6" w:tplc="1809000F" w:tentative="1">
      <w:start w:val="1"/>
      <w:numFmt w:val="decimal"/>
      <w:lvlText w:val="%7."/>
      <w:lvlJc w:val="left"/>
      <w:pPr>
        <w:ind w:left="9500" w:hanging="360"/>
      </w:pPr>
    </w:lvl>
    <w:lvl w:ilvl="7" w:tplc="18090019" w:tentative="1">
      <w:start w:val="1"/>
      <w:numFmt w:val="lowerLetter"/>
      <w:lvlText w:val="%8."/>
      <w:lvlJc w:val="left"/>
      <w:pPr>
        <w:ind w:left="10220" w:hanging="360"/>
      </w:pPr>
    </w:lvl>
    <w:lvl w:ilvl="8" w:tplc="18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" w15:restartNumberingAfterBreak="0">
    <w:nsid w:val="032002B7"/>
    <w:multiLevelType w:val="multilevel"/>
    <w:tmpl w:val="CBB466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2" w15:restartNumberingAfterBreak="0">
    <w:nsid w:val="0440330A"/>
    <w:multiLevelType w:val="multilevel"/>
    <w:tmpl w:val="A498F75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A044E47"/>
    <w:multiLevelType w:val="hybridMultilevel"/>
    <w:tmpl w:val="5CFEFF0A"/>
    <w:lvl w:ilvl="0" w:tplc="A784F79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50003E">
      <w:start w:val="1"/>
      <w:numFmt w:val="lowerLetter"/>
      <w:lvlText w:val="%2"/>
      <w:lvlJc w:val="left"/>
      <w:pPr>
        <w:ind w:left="9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9EE534">
      <w:start w:val="1"/>
      <w:numFmt w:val="lowerRoman"/>
      <w:lvlText w:val="%3"/>
      <w:lvlJc w:val="left"/>
      <w:pPr>
        <w:ind w:left="1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26F028">
      <w:start w:val="1"/>
      <w:numFmt w:val="lowerLetter"/>
      <w:lvlRestart w:val="0"/>
      <w:lvlText w:val="%4)"/>
      <w:lvlJc w:val="left"/>
      <w:pPr>
        <w:ind w:left="29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C88E4C">
      <w:start w:val="1"/>
      <w:numFmt w:val="lowerLetter"/>
      <w:lvlText w:val="%5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D41D0E">
      <w:start w:val="1"/>
      <w:numFmt w:val="lowerRoman"/>
      <w:lvlText w:val="%6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326B58">
      <w:start w:val="1"/>
      <w:numFmt w:val="decimal"/>
      <w:lvlText w:val="%7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26AE20">
      <w:start w:val="1"/>
      <w:numFmt w:val="lowerLetter"/>
      <w:lvlText w:val="%8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46CEE0">
      <w:start w:val="1"/>
      <w:numFmt w:val="lowerRoman"/>
      <w:lvlText w:val="%9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B438A0"/>
    <w:multiLevelType w:val="hybridMultilevel"/>
    <w:tmpl w:val="03E258D0"/>
    <w:lvl w:ilvl="0" w:tplc="8F08B64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402522">
      <w:start w:val="1"/>
      <w:numFmt w:val="bullet"/>
      <w:lvlText w:val="o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BA90A4">
      <w:start w:val="1"/>
      <w:numFmt w:val="bullet"/>
      <w:lvlText w:val="▪"/>
      <w:lvlJc w:val="left"/>
      <w:pPr>
        <w:ind w:left="10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5695BA">
      <w:start w:val="1"/>
      <w:numFmt w:val="bullet"/>
      <w:lvlRestart w:val="0"/>
      <w:lvlText w:val="•"/>
      <w:lvlJc w:val="left"/>
      <w:pPr>
        <w:ind w:left="2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5A638E">
      <w:start w:val="1"/>
      <w:numFmt w:val="bullet"/>
      <w:lvlText w:val="o"/>
      <w:lvlJc w:val="left"/>
      <w:pPr>
        <w:ind w:left="21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0E1DA8">
      <w:start w:val="1"/>
      <w:numFmt w:val="bullet"/>
      <w:lvlText w:val="▪"/>
      <w:lvlJc w:val="left"/>
      <w:pPr>
        <w:ind w:left="2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0411E0">
      <w:start w:val="1"/>
      <w:numFmt w:val="bullet"/>
      <w:lvlText w:val="•"/>
      <w:lvlJc w:val="left"/>
      <w:pPr>
        <w:ind w:left="35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6E5D4C">
      <w:start w:val="1"/>
      <w:numFmt w:val="bullet"/>
      <w:lvlText w:val="o"/>
      <w:lvlJc w:val="left"/>
      <w:pPr>
        <w:ind w:left="4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C855DE">
      <w:start w:val="1"/>
      <w:numFmt w:val="bullet"/>
      <w:lvlText w:val="▪"/>
      <w:lvlJc w:val="left"/>
      <w:pPr>
        <w:ind w:left="49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7813B4E"/>
    <w:multiLevelType w:val="multilevel"/>
    <w:tmpl w:val="93B61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03A5778"/>
    <w:multiLevelType w:val="hybridMultilevel"/>
    <w:tmpl w:val="85D6E3B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900C8"/>
    <w:multiLevelType w:val="hybridMultilevel"/>
    <w:tmpl w:val="985EE21E"/>
    <w:lvl w:ilvl="0" w:tplc="40405D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01623"/>
    <w:multiLevelType w:val="hybridMultilevel"/>
    <w:tmpl w:val="7B1C570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4D1EE9"/>
    <w:multiLevelType w:val="hybridMultilevel"/>
    <w:tmpl w:val="FCB8B5E4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F0A2A43"/>
    <w:multiLevelType w:val="hybridMultilevel"/>
    <w:tmpl w:val="08ECBC14"/>
    <w:lvl w:ilvl="0" w:tplc="CFFEBC3E">
      <w:start w:val="1"/>
      <w:numFmt w:val="lowerLetter"/>
      <w:lvlText w:val="%1."/>
      <w:lvlJc w:val="left"/>
      <w:pPr>
        <w:ind w:left="1080" w:hanging="360"/>
      </w:pPr>
    </w:lvl>
    <w:lvl w:ilvl="1" w:tplc="18090019">
      <w:start w:val="1"/>
      <w:numFmt w:val="lowerLetter"/>
      <w:lvlText w:val="%2."/>
      <w:lvlJc w:val="left"/>
      <w:pPr>
        <w:ind w:left="1800" w:hanging="360"/>
      </w:pPr>
    </w:lvl>
    <w:lvl w:ilvl="2" w:tplc="1809001B">
      <w:start w:val="1"/>
      <w:numFmt w:val="lowerRoman"/>
      <w:lvlText w:val="%3."/>
      <w:lvlJc w:val="right"/>
      <w:pPr>
        <w:ind w:left="2520" w:hanging="180"/>
      </w:pPr>
    </w:lvl>
    <w:lvl w:ilvl="3" w:tplc="1809000F">
      <w:start w:val="1"/>
      <w:numFmt w:val="decimal"/>
      <w:lvlText w:val="%4."/>
      <w:lvlJc w:val="left"/>
      <w:pPr>
        <w:ind w:left="3240" w:hanging="360"/>
      </w:pPr>
    </w:lvl>
    <w:lvl w:ilvl="4" w:tplc="18090019">
      <w:start w:val="1"/>
      <w:numFmt w:val="lowerLetter"/>
      <w:lvlText w:val="%5."/>
      <w:lvlJc w:val="left"/>
      <w:pPr>
        <w:ind w:left="3960" w:hanging="360"/>
      </w:pPr>
    </w:lvl>
    <w:lvl w:ilvl="5" w:tplc="1809001B">
      <w:start w:val="1"/>
      <w:numFmt w:val="lowerRoman"/>
      <w:lvlText w:val="%6."/>
      <w:lvlJc w:val="right"/>
      <w:pPr>
        <w:ind w:left="4680" w:hanging="180"/>
      </w:pPr>
    </w:lvl>
    <w:lvl w:ilvl="6" w:tplc="1809000F">
      <w:start w:val="1"/>
      <w:numFmt w:val="decimal"/>
      <w:lvlText w:val="%7."/>
      <w:lvlJc w:val="left"/>
      <w:pPr>
        <w:ind w:left="5400" w:hanging="360"/>
      </w:pPr>
    </w:lvl>
    <w:lvl w:ilvl="7" w:tplc="18090019">
      <w:start w:val="1"/>
      <w:numFmt w:val="lowerLetter"/>
      <w:lvlText w:val="%8."/>
      <w:lvlJc w:val="left"/>
      <w:pPr>
        <w:ind w:left="6120" w:hanging="360"/>
      </w:pPr>
    </w:lvl>
    <w:lvl w:ilvl="8" w:tplc="18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8F6655"/>
    <w:multiLevelType w:val="hybridMultilevel"/>
    <w:tmpl w:val="85D6E3B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0957F5"/>
    <w:multiLevelType w:val="multilevel"/>
    <w:tmpl w:val="AF609D4C"/>
    <w:lvl w:ilvl="0">
      <w:start w:val="1"/>
      <w:numFmt w:val="decimal"/>
      <w:lvlText w:val="%1."/>
      <w:lvlJc w:val="left"/>
      <w:pPr>
        <w:ind w:left="1743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0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7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4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0EE7DAC"/>
    <w:multiLevelType w:val="hybridMultilevel"/>
    <w:tmpl w:val="0354FC4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77C7F"/>
    <w:multiLevelType w:val="hybridMultilevel"/>
    <w:tmpl w:val="82D81126"/>
    <w:lvl w:ilvl="0" w:tplc="BBDEADD0">
      <w:start w:val="1"/>
      <w:numFmt w:val="lowerLetter"/>
      <w:lvlText w:val="(%1)"/>
      <w:lvlJc w:val="left"/>
      <w:pPr>
        <w:ind w:left="1361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081" w:hanging="360"/>
      </w:pPr>
    </w:lvl>
    <w:lvl w:ilvl="2" w:tplc="1809001B" w:tentative="1">
      <w:start w:val="1"/>
      <w:numFmt w:val="lowerRoman"/>
      <w:lvlText w:val="%3."/>
      <w:lvlJc w:val="right"/>
      <w:pPr>
        <w:ind w:left="2801" w:hanging="180"/>
      </w:pPr>
    </w:lvl>
    <w:lvl w:ilvl="3" w:tplc="1809000F" w:tentative="1">
      <w:start w:val="1"/>
      <w:numFmt w:val="decimal"/>
      <w:lvlText w:val="%4."/>
      <w:lvlJc w:val="left"/>
      <w:pPr>
        <w:ind w:left="3521" w:hanging="360"/>
      </w:pPr>
    </w:lvl>
    <w:lvl w:ilvl="4" w:tplc="18090019" w:tentative="1">
      <w:start w:val="1"/>
      <w:numFmt w:val="lowerLetter"/>
      <w:lvlText w:val="%5."/>
      <w:lvlJc w:val="left"/>
      <w:pPr>
        <w:ind w:left="4241" w:hanging="360"/>
      </w:pPr>
    </w:lvl>
    <w:lvl w:ilvl="5" w:tplc="1809001B" w:tentative="1">
      <w:start w:val="1"/>
      <w:numFmt w:val="lowerRoman"/>
      <w:lvlText w:val="%6."/>
      <w:lvlJc w:val="right"/>
      <w:pPr>
        <w:ind w:left="4961" w:hanging="180"/>
      </w:pPr>
    </w:lvl>
    <w:lvl w:ilvl="6" w:tplc="1809000F" w:tentative="1">
      <w:start w:val="1"/>
      <w:numFmt w:val="decimal"/>
      <w:lvlText w:val="%7."/>
      <w:lvlJc w:val="left"/>
      <w:pPr>
        <w:ind w:left="5681" w:hanging="360"/>
      </w:pPr>
    </w:lvl>
    <w:lvl w:ilvl="7" w:tplc="18090019" w:tentative="1">
      <w:start w:val="1"/>
      <w:numFmt w:val="lowerLetter"/>
      <w:lvlText w:val="%8."/>
      <w:lvlJc w:val="left"/>
      <w:pPr>
        <w:ind w:left="6401" w:hanging="360"/>
      </w:pPr>
    </w:lvl>
    <w:lvl w:ilvl="8" w:tplc="180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15" w15:restartNumberingAfterBreak="0">
    <w:nsid w:val="62466BA8"/>
    <w:multiLevelType w:val="multilevel"/>
    <w:tmpl w:val="C64E5262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auto"/>
      </w:r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8"/>
  </w:num>
  <w:num w:numId="8">
    <w:abstractNumId w:val="11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4"/>
  </w:num>
  <w:num w:numId="13">
    <w:abstractNumId w:val="7"/>
  </w:num>
  <w:num w:numId="14">
    <w:abstractNumId w:val="0"/>
  </w:num>
  <w:num w:numId="15">
    <w:abstractNumId w:val="9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20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37E"/>
    <w:rsid w:val="00015374"/>
    <w:rsid w:val="00016F7E"/>
    <w:rsid w:val="000410CD"/>
    <w:rsid w:val="0004674A"/>
    <w:rsid w:val="000721B8"/>
    <w:rsid w:val="000B13E0"/>
    <w:rsid w:val="000C7311"/>
    <w:rsid w:val="000D5BC3"/>
    <w:rsid w:val="000E0339"/>
    <w:rsid w:val="000E3593"/>
    <w:rsid w:val="0012311F"/>
    <w:rsid w:val="00124E06"/>
    <w:rsid w:val="0012687E"/>
    <w:rsid w:val="00142A52"/>
    <w:rsid w:val="001B0CAF"/>
    <w:rsid w:val="00204E52"/>
    <w:rsid w:val="00221633"/>
    <w:rsid w:val="0024526C"/>
    <w:rsid w:val="00257864"/>
    <w:rsid w:val="00267339"/>
    <w:rsid w:val="00283AC6"/>
    <w:rsid w:val="002E7F42"/>
    <w:rsid w:val="00317350"/>
    <w:rsid w:val="00343F2D"/>
    <w:rsid w:val="003469B9"/>
    <w:rsid w:val="00354A6F"/>
    <w:rsid w:val="0039597E"/>
    <w:rsid w:val="003A4843"/>
    <w:rsid w:val="003C408B"/>
    <w:rsid w:val="003E6C2C"/>
    <w:rsid w:val="003F48C5"/>
    <w:rsid w:val="004102CF"/>
    <w:rsid w:val="00423F67"/>
    <w:rsid w:val="00461D02"/>
    <w:rsid w:val="0050533A"/>
    <w:rsid w:val="005114D6"/>
    <w:rsid w:val="005B1534"/>
    <w:rsid w:val="005B53FD"/>
    <w:rsid w:val="005D72E8"/>
    <w:rsid w:val="005F09ED"/>
    <w:rsid w:val="00630736"/>
    <w:rsid w:val="00665852"/>
    <w:rsid w:val="006A1582"/>
    <w:rsid w:val="006A7B68"/>
    <w:rsid w:val="006D4F6E"/>
    <w:rsid w:val="006E3004"/>
    <w:rsid w:val="007676A6"/>
    <w:rsid w:val="007C7848"/>
    <w:rsid w:val="007F3592"/>
    <w:rsid w:val="007F5232"/>
    <w:rsid w:val="007F6F4E"/>
    <w:rsid w:val="0081380B"/>
    <w:rsid w:val="00817F70"/>
    <w:rsid w:val="00840968"/>
    <w:rsid w:val="00854912"/>
    <w:rsid w:val="00855A21"/>
    <w:rsid w:val="0086136B"/>
    <w:rsid w:val="0088301F"/>
    <w:rsid w:val="00884D89"/>
    <w:rsid w:val="009034EC"/>
    <w:rsid w:val="00923219"/>
    <w:rsid w:val="00975363"/>
    <w:rsid w:val="009922A4"/>
    <w:rsid w:val="00A0112C"/>
    <w:rsid w:val="00A24074"/>
    <w:rsid w:val="00A45265"/>
    <w:rsid w:val="00A470C1"/>
    <w:rsid w:val="00A67305"/>
    <w:rsid w:val="00A81E3F"/>
    <w:rsid w:val="00A84228"/>
    <w:rsid w:val="00A84398"/>
    <w:rsid w:val="00A92CC6"/>
    <w:rsid w:val="00AB6844"/>
    <w:rsid w:val="00AC329D"/>
    <w:rsid w:val="00B06264"/>
    <w:rsid w:val="00B24B3C"/>
    <w:rsid w:val="00B44585"/>
    <w:rsid w:val="00B5275B"/>
    <w:rsid w:val="00B55F67"/>
    <w:rsid w:val="00B92F0D"/>
    <w:rsid w:val="00B95C7E"/>
    <w:rsid w:val="00BB2E18"/>
    <w:rsid w:val="00C75DD6"/>
    <w:rsid w:val="00C76F64"/>
    <w:rsid w:val="00CA37A1"/>
    <w:rsid w:val="00CC0A8A"/>
    <w:rsid w:val="00CC154E"/>
    <w:rsid w:val="00CF5772"/>
    <w:rsid w:val="00D04926"/>
    <w:rsid w:val="00D47C9B"/>
    <w:rsid w:val="00D520B2"/>
    <w:rsid w:val="00D6637E"/>
    <w:rsid w:val="00D877D6"/>
    <w:rsid w:val="00DA4781"/>
    <w:rsid w:val="00DE01AA"/>
    <w:rsid w:val="00E026F1"/>
    <w:rsid w:val="00E07B0F"/>
    <w:rsid w:val="00E3237E"/>
    <w:rsid w:val="00E35CB6"/>
    <w:rsid w:val="00E53933"/>
    <w:rsid w:val="00E7471E"/>
    <w:rsid w:val="00E80236"/>
    <w:rsid w:val="00E85078"/>
    <w:rsid w:val="00ED5DE3"/>
    <w:rsid w:val="00EE1C53"/>
    <w:rsid w:val="00EE7231"/>
    <w:rsid w:val="00EF3BA3"/>
    <w:rsid w:val="00F015C3"/>
    <w:rsid w:val="00F107FB"/>
    <w:rsid w:val="00F440C8"/>
    <w:rsid w:val="00F4441A"/>
    <w:rsid w:val="00FC2651"/>
    <w:rsid w:val="00FE1FB0"/>
    <w:rsid w:val="00FF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23BB11C1"/>
  <w15:chartTrackingRefBased/>
  <w15:docId w15:val="{1803088A-334F-49D0-ADAF-3FBA0C055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663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aliases w:val="Subtitle Cover Page,igunore"/>
    <w:basedOn w:val="Normal"/>
    <w:link w:val="ListParagraphChar"/>
    <w:uiPriority w:val="34"/>
    <w:qFormat/>
    <w:rsid w:val="00D6637E"/>
    <w:pPr>
      <w:ind w:left="720"/>
      <w:contextualSpacing/>
    </w:pPr>
  </w:style>
  <w:style w:type="paragraph" w:styleId="NoSpacing">
    <w:name w:val="No Spacing"/>
    <w:uiPriority w:val="1"/>
    <w:qFormat/>
    <w:rsid w:val="00BB2E18"/>
    <w:pPr>
      <w:spacing w:after="0" w:line="240" w:lineRule="auto"/>
    </w:pPr>
  </w:style>
  <w:style w:type="paragraph" w:customStyle="1" w:styleId="default0">
    <w:name w:val="default"/>
    <w:basedOn w:val="Normal"/>
    <w:rsid w:val="007676A6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29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9232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32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32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32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321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24E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E06"/>
  </w:style>
  <w:style w:type="paragraph" w:styleId="Footer">
    <w:name w:val="footer"/>
    <w:basedOn w:val="Normal"/>
    <w:link w:val="FooterChar"/>
    <w:uiPriority w:val="99"/>
    <w:unhideWhenUsed/>
    <w:rsid w:val="00124E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E06"/>
  </w:style>
  <w:style w:type="character" w:styleId="Hyperlink">
    <w:name w:val="Hyperlink"/>
    <w:basedOn w:val="DefaultParagraphFont"/>
    <w:uiPriority w:val="99"/>
    <w:unhideWhenUsed/>
    <w:rsid w:val="00884D8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3F2D"/>
    <w:rPr>
      <w:color w:val="954F72" w:themeColor="followedHyperlink"/>
      <w:u w:val="single"/>
    </w:rPr>
  </w:style>
  <w:style w:type="character" w:customStyle="1" w:styleId="ListParagraphChar">
    <w:name w:val="List Paragraph Char"/>
    <w:aliases w:val="Subtitle Cover Page Char,igunore Char"/>
    <w:link w:val="ListParagraph"/>
    <w:uiPriority w:val="34"/>
    <w:locked/>
    <w:rsid w:val="000D5BC3"/>
  </w:style>
  <w:style w:type="paragraph" w:styleId="NormalWeb">
    <w:name w:val="Normal (Web)"/>
    <w:basedOn w:val="Normal"/>
    <w:uiPriority w:val="99"/>
    <w:unhideWhenUsed/>
    <w:rsid w:val="0012311F"/>
    <w:pPr>
      <w:spacing w:before="100" w:beforeAutospacing="1" w:after="100" w:afterAutospacing="1"/>
    </w:pPr>
    <w:rPr>
      <w:rFonts w:ascii="Calibri" w:hAnsi="Calibri" w:cs="Calibri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Skills</Company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MacCarrick, Joe</dc:creator>
  <cp:keywords/>
  <dc:description/>
  <cp:lastModifiedBy>Dolan, Caitriona</cp:lastModifiedBy>
  <cp:revision>4</cp:revision>
  <cp:lastPrinted>2019-11-12T12:56:00Z</cp:lastPrinted>
  <dcterms:created xsi:type="dcterms:W3CDTF">2020-07-24T12:01:00Z</dcterms:created>
  <dcterms:modified xsi:type="dcterms:W3CDTF">2020-07-24T12:19:00Z</dcterms:modified>
</cp:coreProperties>
</file>