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0D81" w14:textId="77777777" w:rsidR="00FC29D1" w:rsidRDefault="00FC29D1" w:rsidP="00FD59A5">
      <w:pPr>
        <w:rPr>
          <w:rFonts w:ascii="Calibri" w:hAnsi="Calibri" w:cs="Arial"/>
          <w:b/>
          <w:sz w:val="28"/>
          <w:szCs w:val="28"/>
        </w:rPr>
      </w:pPr>
    </w:p>
    <w:p w14:paraId="7072DB56" w14:textId="77777777" w:rsidR="00FC29D1" w:rsidRPr="00F02518" w:rsidRDefault="00AB29B6" w:rsidP="006526BB">
      <w:pPr>
        <w:ind w:left="-284"/>
        <w:rPr>
          <w:rFonts w:asciiTheme="minorHAnsi" w:hAnsiTheme="minorHAnsi" w:cstheme="minorHAnsi"/>
          <w:b/>
        </w:rPr>
      </w:pPr>
      <w:r w:rsidRPr="00F02518">
        <w:rPr>
          <w:rFonts w:asciiTheme="minorHAnsi" w:hAnsiTheme="minorHAnsi" w:cstheme="minorHAnsi"/>
          <w:b/>
        </w:rPr>
        <w:t xml:space="preserve">RISK ASSESSMENT </w:t>
      </w:r>
      <w:r w:rsidR="00371BAA" w:rsidRPr="00F02518">
        <w:rPr>
          <w:rFonts w:asciiTheme="minorHAnsi" w:hAnsiTheme="minorHAnsi" w:cstheme="minorHAnsi"/>
          <w:b/>
        </w:rPr>
        <w:t>FOR</w:t>
      </w:r>
      <w:r w:rsidR="002A0C66" w:rsidRPr="00F02518">
        <w:rPr>
          <w:rFonts w:asciiTheme="minorHAnsi" w:hAnsiTheme="minorHAnsi" w:cstheme="minorHAnsi"/>
          <w:b/>
        </w:rPr>
        <w:t xml:space="preserve"> </w:t>
      </w:r>
      <w:r w:rsidR="00752DA7">
        <w:rPr>
          <w:rFonts w:asciiTheme="minorHAnsi" w:hAnsiTheme="minorHAnsi" w:cstheme="minorHAnsi"/>
          <w:b/>
        </w:rPr>
        <w:t>INVIGILATORS AND EXAM SUPPORT STAFF</w:t>
      </w:r>
      <w:r w:rsidR="006526BB" w:rsidRPr="00F02518">
        <w:rPr>
          <w:rFonts w:asciiTheme="minorHAnsi" w:hAnsiTheme="minorHAnsi" w:cstheme="minorHAnsi"/>
          <w:b/>
        </w:rPr>
        <w:t xml:space="preserve"> DURING </w:t>
      </w:r>
      <w:r w:rsidR="002A0C66" w:rsidRPr="00F02518">
        <w:rPr>
          <w:rFonts w:asciiTheme="minorHAnsi" w:hAnsiTheme="minorHAnsi" w:cstheme="minorHAnsi"/>
          <w:b/>
        </w:rPr>
        <w:t xml:space="preserve">THE </w:t>
      </w:r>
      <w:r w:rsidRPr="00F02518">
        <w:rPr>
          <w:rFonts w:asciiTheme="minorHAnsi" w:hAnsiTheme="minorHAnsi" w:cstheme="minorHAnsi"/>
          <w:b/>
        </w:rPr>
        <w:t>COVID-19</w:t>
      </w:r>
      <w:r w:rsidR="00371BAA" w:rsidRPr="00F02518">
        <w:rPr>
          <w:rFonts w:asciiTheme="minorHAnsi" w:hAnsiTheme="minorHAnsi" w:cstheme="minorHAnsi"/>
          <w:b/>
        </w:rPr>
        <w:t xml:space="preserve"> PANDEMIC</w:t>
      </w:r>
    </w:p>
    <w:p w14:paraId="01556B68" w14:textId="77777777" w:rsidR="00D30F65" w:rsidRPr="00F02518" w:rsidRDefault="00D30F65" w:rsidP="00D30F65">
      <w:pPr>
        <w:rPr>
          <w:rFonts w:asciiTheme="minorHAnsi" w:hAnsiTheme="minorHAnsi" w:cstheme="minorHAnsi"/>
          <w:b/>
        </w:rPr>
      </w:pPr>
    </w:p>
    <w:p w14:paraId="45061D51" w14:textId="6CEFA182" w:rsidR="00FC29D1" w:rsidRPr="00F02518" w:rsidRDefault="00FC29D1" w:rsidP="000A2ADC">
      <w:pPr>
        <w:ind w:left="-284"/>
        <w:rPr>
          <w:rFonts w:asciiTheme="minorHAnsi" w:hAnsiTheme="minorHAnsi" w:cstheme="minorHAnsi"/>
        </w:rPr>
      </w:pPr>
      <w:r w:rsidRPr="00F02518">
        <w:rPr>
          <w:rFonts w:asciiTheme="minorHAnsi" w:hAnsiTheme="minorHAnsi" w:cstheme="minorHAnsi"/>
        </w:rPr>
        <w:t>Completed by:</w:t>
      </w:r>
      <w:r w:rsidRPr="00F02518">
        <w:rPr>
          <w:rFonts w:asciiTheme="minorHAnsi" w:hAnsiTheme="minorHAnsi" w:cstheme="minorHAnsi"/>
        </w:rPr>
        <w:tab/>
      </w:r>
      <w:r w:rsidR="00842B0C" w:rsidRPr="00F02518">
        <w:rPr>
          <w:rFonts w:asciiTheme="minorHAnsi" w:hAnsiTheme="minorHAnsi" w:cstheme="minorHAnsi"/>
        </w:rPr>
        <w:t xml:space="preserve"> </w:t>
      </w:r>
      <w:r w:rsidRPr="00F02518">
        <w:rPr>
          <w:rFonts w:asciiTheme="minorHAnsi" w:hAnsiTheme="minorHAnsi" w:cstheme="minorHAnsi"/>
        </w:rPr>
        <w:tab/>
      </w:r>
      <w:r w:rsidRPr="00F02518">
        <w:rPr>
          <w:rFonts w:asciiTheme="minorHAnsi" w:hAnsiTheme="minorHAnsi" w:cstheme="minorHAnsi"/>
        </w:rPr>
        <w:tab/>
      </w:r>
      <w:r w:rsidRPr="00F02518">
        <w:rPr>
          <w:rFonts w:asciiTheme="minorHAnsi" w:hAnsiTheme="minorHAnsi" w:cstheme="minorHAnsi"/>
        </w:rPr>
        <w:tab/>
      </w:r>
      <w:r w:rsidR="009E0B1B" w:rsidRPr="00F02518">
        <w:rPr>
          <w:rFonts w:asciiTheme="minorHAnsi" w:hAnsiTheme="minorHAnsi" w:cstheme="minorHAnsi"/>
        </w:rPr>
        <w:t>Date:</w:t>
      </w:r>
      <w:r w:rsidR="009E0B1B" w:rsidRPr="00F02518">
        <w:rPr>
          <w:rFonts w:asciiTheme="minorHAnsi" w:hAnsiTheme="minorHAnsi" w:cstheme="minorHAnsi"/>
        </w:rPr>
        <w:tab/>
      </w:r>
      <w:r w:rsidR="00EA78CA">
        <w:rPr>
          <w:rFonts w:asciiTheme="minorHAnsi" w:hAnsiTheme="minorHAnsi" w:cstheme="minorHAnsi"/>
        </w:rPr>
        <w:t xml:space="preserve">3 </w:t>
      </w:r>
      <w:r w:rsidR="00BD3E31">
        <w:rPr>
          <w:rFonts w:asciiTheme="minorHAnsi" w:hAnsiTheme="minorHAnsi" w:cstheme="minorHAnsi"/>
        </w:rPr>
        <w:t xml:space="preserve">April </w:t>
      </w:r>
      <w:r w:rsidR="007427B2">
        <w:rPr>
          <w:rFonts w:asciiTheme="minorHAnsi" w:hAnsiTheme="minorHAnsi" w:cstheme="minorHAnsi"/>
        </w:rPr>
        <w:t>202</w:t>
      </w:r>
      <w:r w:rsidR="00BD3E31">
        <w:rPr>
          <w:rFonts w:asciiTheme="minorHAnsi" w:hAnsiTheme="minorHAnsi" w:cstheme="minorHAnsi"/>
        </w:rPr>
        <w:t>2</w:t>
      </w:r>
      <w:r w:rsidR="00752DA7">
        <w:rPr>
          <w:rFonts w:asciiTheme="minorHAnsi" w:hAnsiTheme="minorHAnsi" w:cstheme="minorHAnsi"/>
        </w:rPr>
        <w:tab/>
      </w:r>
      <w:r w:rsidR="00752DA7">
        <w:rPr>
          <w:rFonts w:asciiTheme="minorHAnsi" w:hAnsiTheme="minorHAnsi" w:cstheme="minorHAnsi"/>
        </w:rPr>
        <w:tab/>
      </w:r>
      <w:r w:rsidR="00752DA7">
        <w:rPr>
          <w:rFonts w:asciiTheme="minorHAnsi" w:hAnsiTheme="minorHAnsi" w:cstheme="minorHAnsi"/>
        </w:rPr>
        <w:tab/>
        <w:t>Review Date: Ongoing</w:t>
      </w:r>
    </w:p>
    <w:p w14:paraId="169F9089" w14:textId="77777777" w:rsidR="007A35E8" w:rsidRPr="00F02518" w:rsidRDefault="007A35E8" w:rsidP="000A2ADC">
      <w:pPr>
        <w:ind w:left="-284"/>
        <w:rPr>
          <w:rFonts w:asciiTheme="minorHAnsi" w:hAnsiTheme="minorHAnsi" w:cstheme="minorHAnsi"/>
        </w:rPr>
      </w:pPr>
    </w:p>
    <w:p w14:paraId="02788A20" w14:textId="77777777" w:rsidR="00073BB6" w:rsidRPr="00F02518" w:rsidRDefault="00073BB6" w:rsidP="000A2ADC">
      <w:pPr>
        <w:ind w:left="-284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49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838"/>
        <w:gridCol w:w="2966"/>
        <w:gridCol w:w="2693"/>
        <w:gridCol w:w="1701"/>
      </w:tblGrid>
      <w:tr w:rsidR="00FC29D1" w:rsidRPr="00F02518" w14:paraId="24C3BD55" w14:textId="77777777" w:rsidTr="006B5280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57A37F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Hazard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282FFB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To Whom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C58FCC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Severity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2A2FE5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Likelihood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17C332A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Risk</w:t>
            </w:r>
          </w:p>
        </w:tc>
      </w:tr>
      <w:tr w:rsidR="00231DF2" w:rsidRPr="00F02518" w14:paraId="2864CA37" w14:textId="77777777" w:rsidTr="004F4DF6">
        <w:trPr>
          <w:trHeight w:val="336"/>
        </w:trPr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32F03" w14:textId="77777777" w:rsidR="00231DF2" w:rsidRPr="00F02518" w:rsidRDefault="00231DF2" w:rsidP="00EA4D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Contracting Covid-19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45C" w14:textId="77777777" w:rsidR="00231DF2" w:rsidRPr="00F02518" w:rsidRDefault="007427B2" w:rsidP="00371B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EB9" w14:textId="4013DCA1" w:rsidR="00231DF2" w:rsidRPr="00F02518" w:rsidRDefault="001A5BCC" w:rsidP="00231D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5CFA" w14:textId="77777777" w:rsidR="00231DF2" w:rsidRPr="00F02518" w:rsidRDefault="00231DF2" w:rsidP="00231DF2">
            <w:pPr>
              <w:ind w:left="5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76C2C0A1" w14:textId="5503F59D" w:rsidR="00231DF2" w:rsidRPr="00F02518" w:rsidRDefault="001A5BCC" w:rsidP="00AB4864">
            <w:pPr>
              <w:ind w:left="5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476405" w:rsidRPr="00F02518" w14:paraId="59B3E370" w14:textId="77777777" w:rsidTr="004F4DF6">
        <w:trPr>
          <w:trHeight w:val="1172"/>
        </w:trPr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E5ED9" w14:textId="77777777" w:rsidR="00476405" w:rsidRPr="00F02518" w:rsidRDefault="00476405" w:rsidP="00752D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Invigilators and exam support staff, exam candidates </w:t>
            </w:r>
            <w:r w:rsidRPr="00F02518">
              <w:rPr>
                <w:rFonts w:asciiTheme="minorHAnsi" w:hAnsiTheme="minorHAnsi" w:cstheme="minorHAnsi"/>
              </w:rPr>
              <w:t>spreading Covid-19 into the wider community.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96D84" w14:textId="53B8CA85" w:rsidR="00476405" w:rsidRPr="00F02518" w:rsidRDefault="00476405" w:rsidP="00EA78CA">
            <w:pPr>
              <w:rPr>
                <w:rFonts w:asciiTheme="minorHAnsi" w:hAnsiTheme="minorHAnsi" w:cstheme="minorHAnsi"/>
              </w:rPr>
            </w:pPr>
          </w:p>
          <w:p w14:paraId="7E6B541D" w14:textId="77777777" w:rsidR="00476405" w:rsidRPr="00F02518" w:rsidRDefault="00476405" w:rsidP="00F15186">
            <w:pPr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>Wider Community</w:t>
            </w:r>
            <w:r>
              <w:rPr>
                <w:rFonts w:asciiTheme="minorHAnsi" w:hAnsiTheme="minorHAnsi" w:cstheme="minorHAnsi"/>
              </w:rPr>
              <w:t xml:space="preserve"> through staff, visitors, parents and pupils.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E3B4" w14:textId="733E449A" w:rsidR="00476405" w:rsidRPr="00F02518" w:rsidRDefault="00476405" w:rsidP="00F979D4">
            <w:pPr>
              <w:jc w:val="center"/>
              <w:rPr>
                <w:rFonts w:asciiTheme="minorHAnsi" w:hAnsiTheme="minorHAnsi" w:cstheme="minorHAnsi"/>
              </w:rPr>
            </w:pPr>
          </w:p>
          <w:p w14:paraId="2FDA644E" w14:textId="36DAC48D" w:rsidR="00476405" w:rsidRPr="00F02518" w:rsidRDefault="00476405" w:rsidP="00BE23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DE2C" w14:textId="01B331C3" w:rsidR="00476405" w:rsidRPr="00F02518" w:rsidRDefault="00476405" w:rsidP="00F979D4">
            <w:pPr>
              <w:ind w:left="567"/>
              <w:jc w:val="center"/>
              <w:rPr>
                <w:rFonts w:asciiTheme="minorHAnsi" w:hAnsiTheme="minorHAnsi" w:cstheme="minorHAnsi"/>
              </w:rPr>
            </w:pPr>
          </w:p>
          <w:p w14:paraId="01C63606" w14:textId="5288C5D4" w:rsidR="00476405" w:rsidRPr="00F02518" w:rsidRDefault="00476405" w:rsidP="003D3D73">
            <w:pPr>
              <w:ind w:left="56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2C133735" w14:textId="641A3480" w:rsidR="00476405" w:rsidRPr="00F02518" w:rsidRDefault="00476405" w:rsidP="00AB4864">
            <w:pPr>
              <w:ind w:left="567"/>
              <w:jc w:val="center"/>
              <w:rPr>
                <w:rFonts w:asciiTheme="minorHAnsi" w:hAnsiTheme="minorHAnsi" w:cstheme="minorHAnsi"/>
              </w:rPr>
            </w:pPr>
          </w:p>
          <w:p w14:paraId="7839BA7A" w14:textId="77777777" w:rsidR="00476405" w:rsidRPr="00F02518" w:rsidRDefault="00476405" w:rsidP="00852BBE">
            <w:pPr>
              <w:ind w:left="567"/>
              <w:jc w:val="center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>4</w:t>
            </w:r>
          </w:p>
        </w:tc>
      </w:tr>
      <w:tr w:rsidR="00FC29D1" w:rsidRPr="00F02518" w14:paraId="3F395389" w14:textId="77777777" w:rsidTr="006B5280">
        <w:tc>
          <w:tcPr>
            <w:tcW w:w="7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29291C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Existing Precautions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1B06D0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Additional Precautions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E14C20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Who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8325D7C" w14:textId="77777777" w:rsidR="00FC29D1" w:rsidRPr="00F02518" w:rsidRDefault="00FC29D1" w:rsidP="0009425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02518">
              <w:rPr>
                <w:rFonts w:asciiTheme="minorHAnsi" w:eastAsia="Calibri" w:hAnsiTheme="minorHAnsi" w:cstheme="minorHAnsi"/>
                <w:b/>
              </w:rPr>
              <w:t>When</w:t>
            </w:r>
          </w:p>
        </w:tc>
      </w:tr>
      <w:tr w:rsidR="009C608A" w:rsidRPr="00F02518" w14:paraId="5EA72A8A" w14:textId="77777777" w:rsidTr="006B5280">
        <w:trPr>
          <w:trHeight w:val="1782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46816B" w14:textId="77777777" w:rsidR="009C608A" w:rsidRPr="00F02518" w:rsidRDefault="009C608A" w:rsidP="009C608A">
            <w:pPr>
              <w:rPr>
                <w:rFonts w:asciiTheme="minorHAnsi" w:hAnsiTheme="minorHAnsi" w:cstheme="minorHAnsi"/>
                <w:b/>
              </w:rPr>
            </w:pPr>
            <w:r w:rsidRPr="00F02518">
              <w:rPr>
                <w:rFonts w:asciiTheme="minorHAnsi" w:hAnsiTheme="minorHAnsi" w:cstheme="minorHAnsi"/>
                <w:b/>
              </w:rPr>
              <w:t xml:space="preserve">All existing </w:t>
            </w:r>
            <w:r w:rsidR="00476405">
              <w:rPr>
                <w:rFonts w:asciiTheme="minorHAnsi" w:hAnsiTheme="minorHAnsi" w:cstheme="minorHAnsi"/>
                <w:b/>
              </w:rPr>
              <w:t xml:space="preserve">relevant </w:t>
            </w:r>
            <w:r w:rsidRPr="00F02518">
              <w:rPr>
                <w:rFonts w:asciiTheme="minorHAnsi" w:hAnsiTheme="minorHAnsi" w:cstheme="minorHAnsi"/>
                <w:b/>
              </w:rPr>
              <w:t>Risk Assessments to be adhered to</w:t>
            </w:r>
            <w:r w:rsidR="00842B0C" w:rsidRPr="00F02518">
              <w:rPr>
                <w:rFonts w:asciiTheme="minorHAnsi" w:hAnsiTheme="minorHAnsi" w:cstheme="minorHAnsi"/>
                <w:b/>
              </w:rPr>
              <w:t>.</w:t>
            </w:r>
          </w:p>
          <w:p w14:paraId="4CDFA6C2" w14:textId="77777777" w:rsidR="009C608A" w:rsidRPr="00F02518" w:rsidRDefault="009C608A" w:rsidP="009C608A">
            <w:pPr>
              <w:rPr>
                <w:rFonts w:asciiTheme="minorHAnsi" w:hAnsiTheme="minorHAnsi" w:cstheme="minorHAnsi"/>
              </w:rPr>
            </w:pPr>
          </w:p>
          <w:p w14:paraId="3B0D45DB" w14:textId="77777777" w:rsidR="009C608A" w:rsidRDefault="009C608A" w:rsidP="009C608A">
            <w:pPr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Adherence </w:t>
            </w:r>
            <w:r w:rsidR="00EA4D7D" w:rsidRPr="00F02518">
              <w:rPr>
                <w:rFonts w:asciiTheme="minorHAnsi" w:hAnsiTheme="minorHAnsi" w:cstheme="minorHAnsi"/>
              </w:rPr>
              <w:t>to</w:t>
            </w:r>
            <w:r w:rsidRPr="00F02518">
              <w:rPr>
                <w:rFonts w:asciiTheme="minorHAnsi" w:hAnsiTheme="minorHAnsi" w:cstheme="minorHAnsi"/>
              </w:rPr>
              <w:t xml:space="preserve"> all advice from the </w:t>
            </w:r>
            <w:r w:rsidR="00677C0D" w:rsidRPr="00F02518">
              <w:rPr>
                <w:rFonts w:asciiTheme="minorHAnsi" w:hAnsiTheme="minorHAnsi" w:cstheme="minorHAnsi"/>
              </w:rPr>
              <w:t xml:space="preserve">DE, </w:t>
            </w:r>
            <w:r w:rsidRPr="00F02518">
              <w:rPr>
                <w:rFonts w:asciiTheme="minorHAnsi" w:hAnsiTheme="minorHAnsi" w:cstheme="minorHAnsi"/>
              </w:rPr>
              <w:t>NHS and Public Health Agency (PHA) Covid-19 Guidelines</w:t>
            </w:r>
          </w:p>
          <w:p w14:paraId="073DB32F" w14:textId="77777777" w:rsidR="009C608A" w:rsidRPr="00F02518" w:rsidRDefault="009C608A" w:rsidP="009C608A">
            <w:pPr>
              <w:rPr>
                <w:rFonts w:asciiTheme="minorHAnsi" w:hAnsiTheme="minorHAnsi" w:cstheme="minorHAnsi"/>
              </w:rPr>
            </w:pPr>
          </w:p>
          <w:p w14:paraId="650FD6A2" w14:textId="0080ABE3" w:rsidR="00EB1B60" w:rsidRPr="00F02518" w:rsidRDefault="00752DA7" w:rsidP="00EB1B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Invigilato</w:t>
            </w:r>
            <w:r w:rsidR="00E909CC">
              <w:rPr>
                <w:rFonts w:asciiTheme="minorHAnsi" w:hAnsiTheme="minorHAnsi" w:cstheme="minorHAnsi"/>
              </w:rPr>
              <w:t>rs/Exam support staff and candid</w:t>
            </w:r>
            <w:r>
              <w:rPr>
                <w:rFonts w:asciiTheme="minorHAnsi" w:hAnsiTheme="minorHAnsi" w:cstheme="minorHAnsi"/>
              </w:rPr>
              <w:t>ates</w:t>
            </w:r>
            <w:r w:rsidR="007427B2">
              <w:rPr>
                <w:rFonts w:asciiTheme="minorHAnsi" w:hAnsiTheme="minorHAnsi" w:cstheme="minorHAnsi"/>
              </w:rPr>
              <w:t xml:space="preserve"> are informed that i</w:t>
            </w:r>
            <w:r w:rsidR="00EB1B60" w:rsidRPr="00F02518">
              <w:rPr>
                <w:rFonts w:asciiTheme="minorHAnsi" w:hAnsiTheme="minorHAnsi" w:cstheme="minorHAnsi"/>
              </w:rPr>
              <w:t>f</w:t>
            </w:r>
            <w:r w:rsidR="007427B2">
              <w:rPr>
                <w:rFonts w:asciiTheme="minorHAnsi" w:hAnsiTheme="minorHAnsi" w:cstheme="minorHAnsi"/>
              </w:rPr>
              <w:t xml:space="preserve"> they </w:t>
            </w:r>
            <w:r w:rsidR="00EB1B60" w:rsidRPr="00F02518">
              <w:rPr>
                <w:rFonts w:asciiTheme="minorHAnsi" w:hAnsiTheme="minorHAnsi" w:cstheme="minorHAnsi"/>
              </w:rPr>
              <w:t xml:space="preserve">display any of the Covid-19 symptoms such as: </w:t>
            </w:r>
          </w:p>
          <w:p w14:paraId="2BA9E669" w14:textId="77777777" w:rsidR="00EB1B60" w:rsidRPr="00F02518" w:rsidRDefault="00EB1B60" w:rsidP="00FC3A9D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a high temperature; </w:t>
            </w:r>
          </w:p>
          <w:p w14:paraId="2FF910A7" w14:textId="77777777" w:rsidR="00EB1B60" w:rsidRPr="00F02518" w:rsidRDefault="00EB1B60" w:rsidP="00FC3A9D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a new continuous cough; </w:t>
            </w:r>
          </w:p>
          <w:p w14:paraId="0100AD97" w14:textId="77777777" w:rsidR="00EB1B60" w:rsidRPr="007427B2" w:rsidRDefault="00EB1B60" w:rsidP="00FC3A9D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>a loss or change to your sense of smell or taste.</w:t>
            </w:r>
          </w:p>
          <w:p w14:paraId="779C11BB" w14:textId="4C691F07" w:rsidR="00D24330" w:rsidRPr="004F4DF6" w:rsidRDefault="007427B2" w:rsidP="004F4DF6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>Or are self-isolating as they have been identified as a close contact of a posit</w:t>
            </w:r>
            <w:r w:rsidR="00D24330"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 xml:space="preserve">ive </w:t>
            </w:r>
            <w:proofErr w:type="gramStart"/>
            <w:r w:rsidR="00D24330"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>case</w:t>
            </w:r>
            <w:proofErr w:type="gramEnd"/>
            <w:r w:rsidR="00D24330"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 xml:space="preserve"> they are not to attend</w:t>
            </w:r>
            <w:r w:rsidR="00E909CC"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 xml:space="preserve"> the exam sitting</w:t>
            </w:r>
            <w:r>
              <w:rPr>
                <w:rFonts w:asciiTheme="minorHAnsi" w:hAnsiTheme="minorHAnsi" w:cstheme="minorHAnsi"/>
                <w:color w:val="424242"/>
                <w:shd w:val="clear" w:color="auto" w:fill="FFFFFF"/>
              </w:rPr>
              <w:t>.</w:t>
            </w:r>
          </w:p>
          <w:p w14:paraId="77D8373E" w14:textId="77777777" w:rsidR="004F4DF6" w:rsidRPr="004F4DF6" w:rsidRDefault="004F4DF6" w:rsidP="004F4DF6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14:paraId="39612397" w14:textId="77777777" w:rsidR="00752DA7" w:rsidRPr="00752DA7" w:rsidRDefault="00D24330" w:rsidP="00752DA7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 w:rsidRPr="00D24330">
              <w:rPr>
                <w:rFonts w:asciiTheme="minorHAnsi" w:hAnsiTheme="minorHAnsi" w:cstheme="minorHAnsi"/>
                <w:color w:val="0B0C0C"/>
              </w:rPr>
              <w:t xml:space="preserve">Good ventilation of the exam room is important </w:t>
            </w:r>
            <w:r w:rsidR="00752DA7">
              <w:rPr>
                <w:rFonts w:asciiTheme="minorHAnsi" w:hAnsiTheme="minorHAnsi" w:cstheme="minorHAnsi"/>
                <w:color w:val="0B0C0C"/>
              </w:rPr>
              <w:t>this</w:t>
            </w:r>
            <w:r w:rsidRPr="00D24330">
              <w:rPr>
                <w:rFonts w:asciiTheme="minorHAnsi" w:hAnsiTheme="minorHAnsi" w:cstheme="minorHAnsi"/>
                <w:color w:val="0B0C0C"/>
              </w:rPr>
              <w:t xml:space="preserve"> should </w:t>
            </w:r>
            <w:proofErr w:type="gramStart"/>
            <w:r w:rsidRPr="00D24330">
              <w:rPr>
                <w:rFonts w:asciiTheme="minorHAnsi" w:hAnsiTheme="minorHAnsi" w:cstheme="minorHAnsi"/>
                <w:color w:val="0B0C0C"/>
              </w:rPr>
              <w:t>maximise</w:t>
            </w:r>
            <w:r w:rsidR="00752DA7">
              <w:rPr>
                <w:rFonts w:asciiTheme="minorHAnsi" w:hAnsiTheme="minorHAnsi" w:cstheme="minorHAnsi"/>
                <w:color w:val="0B0C0C"/>
              </w:rPr>
              <w:t>d</w:t>
            </w:r>
            <w:proofErr w:type="gramEnd"/>
            <w:r w:rsidR="00752DA7">
              <w:rPr>
                <w:rFonts w:asciiTheme="minorHAnsi" w:hAnsiTheme="minorHAnsi" w:cstheme="minorHAnsi"/>
                <w:color w:val="0B0C0C"/>
              </w:rPr>
              <w:t xml:space="preserve"> </w:t>
            </w:r>
            <w:r w:rsidRPr="00D24330">
              <w:rPr>
                <w:rFonts w:asciiTheme="minorHAnsi" w:hAnsiTheme="minorHAnsi" w:cstheme="minorHAnsi"/>
                <w:color w:val="0B0C0C"/>
              </w:rPr>
              <w:t>wherever possible.</w:t>
            </w:r>
            <w:r w:rsidR="00752DA7">
              <w:rPr>
                <w:rFonts w:ascii="Arial" w:hAnsi="Arial" w:cs="Arial"/>
                <w:color w:val="0B0C0C"/>
                <w:sz w:val="29"/>
                <w:szCs w:val="29"/>
              </w:rPr>
              <w:t xml:space="preserve"> </w:t>
            </w:r>
          </w:p>
          <w:p w14:paraId="5E9F2242" w14:textId="77777777" w:rsidR="00752DA7" w:rsidRPr="00752DA7" w:rsidRDefault="00752DA7" w:rsidP="00752DA7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14:paraId="3469BA4F" w14:textId="29F9DFD8" w:rsidR="00D24330" w:rsidRPr="00476405" w:rsidRDefault="00752DA7" w:rsidP="004F4DF6">
            <w:pPr>
              <w:pStyle w:val="ListParagraph"/>
              <w:numPr>
                <w:ilvl w:val="0"/>
                <w:numId w:val="37"/>
              </w:numPr>
              <w:contextualSpacing/>
            </w:pPr>
            <w:r w:rsidRPr="00752DA7">
              <w:rPr>
                <w:rFonts w:asciiTheme="minorHAnsi" w:hAnsiTheme="minorHAnsi" w:cs="Arial"/>
                <w:color w:val="0B0C0C"/>
              </w:rPr>
              <w:lastRenderedPageBreak/>
              <w:t>Invigilators and exam support staff should minimise contact, maintain social distancing from other staff and must avoid the sharing of resources between each other.</w:t>
            </w:r>
          </w:p>
          <w:p w14:paraId="15F397D0" w14:textId="77777777" w:rsidR="00D24330" w:rsidRPr="00D24330" w:rsidRDefault="00D24330" w:rsidP="00D24330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14:paraId="6B53FA09" w14:textId="59238BDF" w:rsidR="004F4DF6" w:rsidRPr="004F4DF6" w:rsidRDefault="00D24330" w:rsidP="004F4DF6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hAnsiTheme="minorHAnsi" w:cstheme="minorHAnsi"/>
              </w:rPr>
            </w:pPr>
            <w:r w:rsidRPr="00D24330">
              <w:rPr>
                <w:rFonts w:ascii="Calibri" w:hAnsi="Calibri" w:cs="Calibri"/>
                <w:color w:val="0B0C0C"/>
              </w:rPr>
              <w:t>Desks</w:t>
            </w:r>
            <w:r>
              <w:rPr>
                <w:rFonts w:ascii="Calibri" w:hAnsi="Calibri" w:cs="Calibri"/>
                <w:color w:val="0B0C0C"/>
              </w:rPr>
              <w:t xml:space="preserve"> within the exam room</w:t>
            </w:r>
            <w:r w:rsidRPr="00D24330">
              <w:rPr>
                <w:rFonts w:ascii="Calibri" w:hAnsi="Calibri" w:cs="Calibri"/>
                <w:color w:val="0B0C0C"/>
              </w:rPr>
              <w:t xml:space="preserve"> should not be set up face to face. For GCSE, AS and A level exams, the minimum distance in all directions from centre to centre of candidates’ chairs must be 1.25 metres</w:t>
            </w:r>
            <w:r w:rsidR="00476405">
              <w:rPr>
                <w:rFonts w:ascii="Calibri" w:hAnsi="Calibri" w:cs="Calibri"/>
                <w:color w:val="0B0C0C"/>
              </w:rPr>
              <w:t>.</w:t>
            </w:r>
          </w:p>
          <w:p w14:paraId="43B9E079" w14:textId="77777777" w:rsidR="004F4DF6" w:rsidRPr="004F4DF6" w:rsidRDefault="004F4DF6" w:rsidP="004F4DF6">
            <w:pPr>
              <w:contextualSpacing/>
              <w:rPr>
                <w:rFonts w:asciiTheme="minorHAnsi" w:hAnsiTheme="minorHAnsi" w:cstheme="minorHAnsi"/>
              </w:rPr>
            </w:pPr>
          </w:p>
          <w:p w14:paraId="57F56E31" w14:textId="2CAC59CE" w:rsidR="00E909CC" w:rsidRPr="004F4DF6" w:rsidRDefault="00E909CC" w:rsidP="004F4DF6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300" w:after="300"/>
              <w:contextualSpacing/>
              <w:rPr>
                <w:rFonts w:asciiTheme="minorHAnsi" w:hAnsiTheme="minorHAnsi" w:cstheme="minorHAnsi"/>
                <w:color w:val="0B0C0C"/>
              </w:rPr>
            </w:pPr>
            <w:r>
              <w:rPr>
                <w:rFonts w:asciiTheme="minorHAnsi" w:hAnsiTheme="minorHAnsi" w:cstheme="minorHAnsi"/>
                <w:color w:val="0B0C0C"/>
              </w:rPr>
              <w:t xml:space="preserve">If 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>I</w:t>
            </w:r>
            <w:r>
              <w:rPr>
                <w:rFonts w:asciiTheme="minorHAnsi" w:hAnsiTheme="minorHAnsi" w:cstheme="minorHAnsi"/>
                <w:color w:val="0B0C0C"/>
              </w:rPr>
              <w:t>nvigilators and other exam support staff have to interact with candidates they should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 xml:space="preserve"> stand alongside candidates when interacting with them, rather than face to face.</w:t>
            </w:r>
            <w:r w:rsidR="00F6656A">
              <w:rPr>
                <w:rFonts w:asciiTheme="minorHAnsi" w:hAnsiTheme="minorHAnsi" w:cstheme="minorHAnsi"/>
                <w:color w:val="0B0C0C"/>
              </w:rPr>
              <w:t xml:space="preserve"> </w:t>
            </w:r>
          </w:p>
          <w:p w14:paraId="7D913CB1" w14:textId="77777777" w:rsidR="00E909CC" w:rsidRPr="00E909CC" w:rsidRDefault="00E909CC" w:rsidP="00E909CC">
            <w:pPr>
              <w:pStyle w:val="ListParagraph"/>
              <w:shd w:val="clear" w:color="auto" w:fill="FFFFFF"/>
              <w:spacing w:before="300" w:after="300"/>
              <w:contextualSpacing/>
              <w:rPr>
                <w:rFonts w:asciiTheme="minorHAnsi" w:hAnsiTheme="minorHAnsi" w:cstheme="minorHAnsi"/>
                <w:color w:val="0B0C0C"/>
              </w:rPr>
            </w:pPr>
          </w:p>
          <w:p w14:paraId="47D24BE9" w14:textId="7CEEF15C" w:rsidR="00752DA7" w:rsidRPr="004F4DF6" w:rsidRDefault="004F4DF6" w:rsidP="0098082C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300" w:after="300"/>
              <w:contextualSpacing/>
              <w:rPr>
                <w:rFonts w:asciiTheme="minorHAnsi" w:hAnsiTheme="minorHAnsi" w:cstheme="minorHAnsi"/>
                <w:color w:val="0B0C0C"/>
              </w:rPr>
            </w:pPr>
            <w:r>
              <w:rPr>
                <w:rFonts w:asciiTheme="minorHAnsi" w:hAnsiTheme="minorHAnsi" w:cstheme="minorHAnsi"/>
                <w:color w:val="0B0C0C"/>
              </w:rPr>
              <w:t>S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 xml:space="preserve">taff should </w:t>
            </w:r>
            <w:r w:rsidR="00BD3E31">
              <w:rPr>
                <w:rFonts w:asciiTheme="minorHAnsi" w:hAnsiTheme="minorHAnsi" w:cstheme="minorHAnsi"/>
                <w:color w:val="0B0C0C"/>
              </w:rPr>
              <w:t xml:space="preserve">socially 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 xml:space="preserve">distance where possible, for example using a separate room from other candidates. If staff cannot maintain </w:t>
            </w:r>
            <w:r w:rsidR="00BD3E31">
              <w:rPr>
                <w:rFonts w:asciiTheme="minorHAnsi" w:hAnsiTheme="minorHAnsi" w:cstheme="minorHAnsi"/>
                <w:color w:val="0B0C0C"/>
              </w:rPr>
              <w:t>social distancing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>, they should avoid close face to face contact</w:t>
            </w:r>
            <w:r w:rsidR="00752DA7">
              <w:rPr>
                <w:rFonts w:asciiTheme="minorHAnsi" w:hAnsiTheme="minorHAnsi" w:cstheme="minorHAnsi"/>
                <w:color w:val="0B0C0C"/>
              </w:rPr>
              <w:t>, sit</w:t>
            </w:r>
            <w:r w:rsidR="00BD3E31">
              <w:rPr>
                <w:rFonts w:asciiTheme="minorHAnsi" w:hAnsiTheme="minorHAnsi" w:cstheme="minorHAnsi"/>
                <w:color w:val="0B0C0C"/>
              </w:rPr>
              <w:t>ting</w:t>
            </w:r>
            <w:r w:rsidR="00752DA7">
              <w:rPr>
                <w:rFonts w:asciiTheme="minorHAnsi" w:hAnsiTheme="minorHAnsi" w:cstheme="minorHAnsi"/>
                <w:color w:val="0B0C0C"/>
              </w:rPr>
              <w:t xml:space="preserve"> alongside rather than face to face</w:t>
            </w:r>
            <w:r w:rsidR="00FC3A9D" w:rsidRPr="00FC3A9D">
              <w:rPr>
                <w:rFonts w:asciiTheme="minorHAnsi" w:hAnsiTheme="minorHAnsi" w:cstheme="minorHAnsi"/>
                <w:color w:val="0B0C0C"/>
              </w:rPr>
              <w:t xml:space="preserve">. </w:t>
            </w:r>
            <w:r w:rsidR="00F6656A">
              <w:rPr>
                <w:rFonts w:asciiTheme="minorHAnsi" w:hAnsiTheme="minorHAnsi" w:cstheme="minorHAnsi"/>
                <w:color w:val="0B0C0C"/>
              </w:rPr>
              <w:t xml:space="preserve"> The invigilator may wear a face covering</w:t>
            </w:r>
            <w:r w:rsidR="0098082C">
              <w:rPr>
                <w:rFonts w:asciiTheme="minorHAnsi" w:hAnsiTheme="minorHAnsi" w:cstheme="minorHAnsi"/>
                <w:color w:val="0B0C0C"/>
              </w:rPr>
              <w:t xml:space="preserve"> if they so wish</w:t>
            </w:r>
            <w:r w:rsidR="00F6656A" w:rsidRPr="004F4DF6">
              <w:rPr>
                <w:rFonts w:asciiTheme="minorHAnsi" w:hAnsiTheme="minorHAnsi" w:cstheme="minorHAnsi"/>
                <w:color w:val="0B0C0C"/>
              </w:rPr>
              <w:t>.</w:t>
            </w:r>
          </w:p>
          <w:p w14:paraId="69B6FBFD" w14:textId="77777777" w:rsidR="00E909CC" w:rsidRPr="00752DA7" w:rsidRDefault="00E909CC" w:rsidP="00E909CC">
            <w:pPr>
              <w:pStyle w:val="ListParagraph"/>
              <w:shd w:val="clear" w:color="auto" w:fill="FFFFFF"/>
              <w:spacing w:before="300" w:after="300"/>
              <w:contextualSpacing/>
              <w:rPr>
                <w:rFonts w:asciiTheme="minorHAnsi" w:hAnsiTheme="minorHAnsi" w:cstheme="minorHAnsi"/>
                <w:color w:val="0B0C0C"/>
              </w:rPr>
            </w:pPr>
          </w:p>
          <w:p w14:paraId="2BEE0AA7" w14:textId="245C3704" w:rsidR="00E909CC" w:rsidRPr="00F979D4" w:rsidRDefault="00752DA7" w:rsidP="00F979D4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300" w:after="300"/>
              <w:contextualSpacing/>
              <w:rPr>
                <w:rFonts w:asciiTheme="minorHAnsi" w:hAnsiTheme="minorHAnsi" w:cstheme="minorHAnsi"/>
                <w:color w:val="0B0C0C"/>
              </w:rPr>
            </w:pPr>
            <w:r w:rsidRPr="00752DA7">
              <w:rPr>
                <w:rFonts w:asciiTheme="minorHAnsi" w:hAnsiTheme="minorHAnsi" w:cstheme="minorHAnsi"/>
                <w:color w:val="0B0C0C"/>
              </w:rPr>
              <w:t>Exam rooms</w:t>
            </w:r>
            <w:r>
              <w:rPr>
                <w:rFonts w:asciiTheme="minorHAnsi" w:hAnsiTheme="minorHAnsi" w:cstheme="minorHAnsi"/>
                <w:color w:val="0B0C0C"/>
              </w:rPr>
              <w:t xml:space="preserve"> must</w:t>
            </w:r>
            <w:r w:rsidRPr="00752DA7">
              <w:rPr>
                <w:rFonts w:asciiTheme="minorHAnsi" w:hAnsiTheme="minorHAnsi" w:cstheme="minorHAnsi"/>
                <w:color w:val="0B0C0C"/>
              </w:rPr>
              <w:t xml:space="preserve"> be kept clean. Frequently touched surfaces (for example, door handles, individual desks) should be cleaned after every exam sitting with the usual cleaning products.</w:t>
            </w:r>
          </w:p>
          <w:p w14:paraId="661B782A" w14:textId="77777777" w:rsidR="00F979D4" w:rsidRDefault="00E909CC" w:rsidP="00F979D4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color w:val="0B0C0C"/>
              </w:rPr>
            </w:pPr>
            <w:r w:rsidRPr="00E909CC">
              <w:rPr>
                <w:rFonts w:ascii="Calibri" w:hAnsi="Calibri"/>
                <w:color w:val="0B0C0C"/>
              </w:rPr>
              <w:t>Invigilators do not need to wear gloves when collecting exam scripts from candidates but should wash their hands thoroughly and more frequently than usual and particularly after handling</w:t>
            </w:r>
            <w:r>
              <w:rPr>
                <w:rFonts w:ascii="Calibri" w:hAnsi="Calibri"/>
                <w:color w:val="0B0C0C"/>
              </w:rPr>
              <w:t xml:space="preserve"> completed</w:t>
            </w:r>
            <w:r w:rsidRPr="00E909CC">
              <w:rPr>
                <w:rFonts w:ascii="Calibri" w:hAnsi="Calibri"/>
                <w:color w:val="0B0C0C"/>
              </w:rPr>
              <w:t xml:space="preserve"> exam </w:t>
            </w:r>
            <w:r>
              <w:rPr>
                <w:rFonts w:ascii="Calibri" w:hAnsi="Calibri"/>
                <w:color w:val="0B0C0C"/>
              </w:rPr>
              <w:t>script</w:t>
            </w:r>
            <w:r w:rsidRPr="00E909CC">
              <w:rPr>
                <w:rFonts w:ascii="Calibri" w:hAnsi="Calibri"/>
                <w:color w:val="0B0C0C"/>
              </w:rPr>
              <w:t>s.  Hand sanitiser should be made available in each exam room</w:t>
            </w:r>
            <w:r w:rsidR="00362E87">
              <w:rPr>
                <w:rFonts w:ascii="Calibri" w:hAnsi="Calibri"/>
                <w:color w:val="0B0C0C"/>
              </w:rPr>
              <w:t xml:space="preserve"> and at all entry/exit points</w:t>
            </w:r>
            <w:r>
              <w:rPr>
                <w:rFonts w:ascii="Calibri" w:hAnsi="Calibri"/>
                <w:color w:val="0B0C0C"/>
              </w:rPr>
              <w:t>.</w:t>
            </w:r>
          </w:p>
          <w:p w14:paraId="46DDD8BF" w14:textId="77777777" w:rsidR="00F979D4" w:rsidRDefault="00F979D4" w:rsidP="00F979D4">
            <w:pPr>
              <w:pStyle w:val="Default"/>
              <w:ind w:left="720"/>
              <w:rPr>
                <w:color w:val="090A0A"/>
                <w:sz w:val="23"/>
                <w:szCs w:val="23"/>
              </w:rPr>
            </w:pPr>
          </w:p>
          <w:p w14:paraId="47D0EA08" w14:textId="60923808" w:rsidR="00F979D4" w:rsidRPr="00F979D4" w:rsidRDefault="00F979D4" w:rsidP="00F979D4">
            <w:pPr>
              <w:pStyle w:val="Default"/>
              <w:numPr>
                <w:ilvl w:val="0"/>
                <w:numId w:val="37"/>
              </w:numPr>
              <w:rPr>
                <w:rFonts w:ascii="Calibri" w:hAnsi="Calibri" w:cs="Calibri"/>
                <w:color w:val="090A0A"/>
                <w:sz w:val="23"/>
                <w:szCs w:val="23"/>
              </w:rPr>
            </w:pPr>
            <w:r w:rsidRPr="00F979D4">
              <w:rPr>
                <w:rFonts w:ascii="Calibri" w:hAnsi="Calibri" w:cs="Calibri"/>
                <w:color w:val="090A0A"/>
                <w:sz w:val="23"/>
                <w:szCs w:val="23"/>
              </w:rPr>
              <w:lastRenderedPageBreak/>
              <w:t xml:space="preserve">In the event that the invigilators cannot maintain a social distance from </w:t>
            </w:r>
            <w:r w:rsidR="00EA78CA">
              <w:rPr>
                <w:rFonts w:ascii="Calibri" w:hAnsi="Calibri" w:cs="Calibri"/>
                <w:color w:val="090A0A"/>
                <w:sz w:val="23"/>
                <w:szCs w:val="23"/>
              </w:rPr>
              <w:t>a</w:t>
            </w:r>
            <w:r w:rsidRPr="00F979D4">
              <w:rPr>
                <w:rFonts w:ascii="Calibri" w:hAnsi="Calibri" w:cs="Calibri"/>
                <w:color w:val="090A0A"/>
                <w:sz w:val="23"/>
                <w:szCs w:val="23"/>
              </w:rPr>
              <w:t xml:space="preserve"> symptomatic candidate then PPE should be worn by the invigilators. </w:t>
            </w:r>
          </w:p>
          <w:p w14:paraId="34AF1C29" w14:textId="77777777" w:rsidR="00F979D4" w:rsidRPr="00F979D4" w:rsidRDefault="00F979D4" w:rsidP="00F979D4">
            <w:pPr>
              <w:contextualSpacing/>
              <w:rPr>
                <w:rFonts w:ascii="Calibri" w:hAnsi="Calibri" w:cstheme="minorHAnsi"/>
              </w:rPr>
            </w:pPr>
          </w:p>
          <w:p w14:paraId="3CD80FE9" w14:textId="77777777" w:rsidR="00FF468F" w:rsidRPr="00E909CC" w:rsidRDefault="00FF468F" w:rsidP="00EA78CA">
            <w:pPr>
              <w:pStyle w:val="ListParagraph"/>
              <w:contextualSpacing/>
              <w:rPr>
                <w:rFonts w:ascii="Calibri" w:hAnsi="Calibri" w:cstheme="minorHAnsi"/>
              </w:rPr>
            </w:pPr>
          </w:p>
          <w:p w14:paraId="47E72E44" w14:textId="77777777" w:rsidR="008A18DB" w:rsidRPr="00F3721F" w:rsidRDefault="00FF468F" w:rsidP="008A18DB">
            <w:pPr>
              <w:pStyle w:val="ListParagraph"/>
              <w:rPr>
                <w:rFonts w:asciiTheme="minorHAnsi" w:hAnsiTheme="minorHAnsi" w:cstheme="minorHAnsi"/>
              </w:rPr>
            </w:pPr>
            <w:r w:rsidRPr="00B82391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Additional control measures particular to 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school</w:t>
            </w:r>
            <w:r w:rsidRPr="00B82391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should be added here when implement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ed</w:t>
            </w:r>
            <w:r w:rsidRPr="00B82391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or in operation.</w:t>
            </w:r>
          </w:p>
          <w:p w14:paraId="0AE6D1A1" w14:textId="77777777" w:rsidR="00FE2569" w:rsidRPr="00F3721F" w:rsidRDefault="00FE2569" w:rsidP="00FE2569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404C8AE" w14:textId="77777777" w:rsidR="008A18DB" w:rsidRPr="00F3721F" w:rsidRDefault="008A18DB" w:rsidP="008A18DB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14:paraId="5693A815" w14:textId="77777777" w:rsidR="008A18DB" w:rsidRPr="00F3721F" w:rsidRDefault="008A18DB" w:rsidP="008A18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9A4048B" w14:textId="77777777" w:rsidR="00677C0D" w:rsidRPr="00F02518" w:rsidRDefault="00677C0D" w:rsidP="009C608A">
            <w:pPr>
              <w:rPr>
                <w:rFonts w:asciiTheme="minorHAnsi" w:hAnsiTheme="minorHAnsi" w:cstheme="minorHAnsi"/>
              </w:rPr>
            </w:pPr>
          </w:p>
          <w:p w14:paraId="244F3D50" w14:textId="77777777" w:rsidR="007F1999" w:rsidRPr="00F02518" w:rsidRDefault="007F1999" w:rsidP="000C4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FE06F" w14:textId="77777777" w:rsidR="009C608A" w:rsidRPr="007F1999" w:rsidRDefault="009C608A" w:rsidP="009C608A">
            <w:pPr>
              <w:rPr>
                <w:rFonts w:asciiTheme="minorHAnsi" w:hAnsiTheme="minorHAnsi" w:cstheme="minorHAnsi"/>
                <w:color w:val="FF0000"/>
              </w:rPr>
            </w:pPr>
            <w:r w:rsidRPr="007F1999">
              <w:rPr>
                <w:rFonts w:asciiTheme="minorHAnsi" w:hAnsiTheme="minorHAnsi" w:cstheme="minorHAnsi"/>
                <w:color w:val="FF0000"/>
              </w:rPr>
              <w:lastRenderedPageBreak/>
              <w:t xml:space="preserve"> </w:t>
            </w:r>
            <w:r w:rsidR="007F1999" w:rsidRPr="007F1999">
              <w:rPr>
                <w:rFonts w:asciiTheme="minorHAnsi" w:hAnsiTheme="minorHAnsi" w:cstheme="minorHAnsi"/>
                <w:color w:val="FF0000"/>
              </w:rPr>
              <w:t xml:space="preserve">If you have additional precautions you wish to add, include them here and designate who is responsible for implementing them and by when. When implemented, add to Existing Precautions </w:t>
            </w:r>
            <w:r w:rsidR="007F1999">
              <w:rPr>
                <w:rFonts w:asciiTheme="minorHAnsi" w:hAnsiTheme="minorHAnsi" w:cstheme="minorHAnsi"/>
                <w:color w:val="FF0000"/>
              </w:rPr>
              <w:t xml:space="preserve">column </w:t>
            </w:r>
            <w:r w:rsidR="007F1999" w:rsidRPr="007F1999">
              <w:rPr>
                <w:rFonts w:asciiTheme="minorHAnsi" w:hAnsiTheme="minorHAnsi" w:cstheme="minorHAnsi"/>
                <w:color w:val="FF0000"/>
              </w:rPr>
              <w:t>and rescore risk.</w:t>
            </w:r>
          </w:p>
          <w:p w14:paraId="2381C8E9" w14:textId="77777777" w:rsidR="009C608A" w:rsidRPr="00F02518" w:rsidRDefault="009C608A" w:rsidP="009C608A">
            <w:pPr>
              <w:rPr>
                <w:rFonts w:asciiTheme="minorHAnsi" w:hAnsiTheme="minorHAnsi" w:cstheme="minorHAnsi"/>
              </w:rPr>
            </w:pPr>
          </w:p>
          <w:p w14:paraId="45054A2B" w14:textId="77777777" w:rsidR="009C608A" w:rsidRPr="00F02518" w:rsidRDefault="009C608A" w:rsidP="009C60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FB1DF2" w14:textId="77777777" w:rsidR="009C608A" w:rsidRPr="00F02518" w:rsidRDefault="009C608A" w:rsidP="009C608A">
            <w:pPr>
              <w:jc w:val="both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 </w:t>
            </w:r>
          </w:p>
          <w:p w14:paraId="1AB8D450" w14:textId="77777777" w:rsidR="00934741" w:rsidRPr="00F02518" w:rsidRDefault="00842B0C" w:rsidP="009C608A">
            <w:pPr>
              <w:jc w:val="both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B5BD3B" w14:textId="77777777" w:rsidR="009C608A" w:rsidRPr="00F02518" w:rsidRDefault="009C608A" w:rsidP="009C608A">
            <w:pPr>
              <w:jc w:val="both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 </w:t>
            </w:r>
          </w:p>
          <w:p w14:paraId="3A2954CE" w14:textId="77777777" w:rsidR="009C608A" w:rsidRPr="00F02518" w:rsidRDefault="00842B0C" w:rsidP="009C608A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F0251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E17E9D1" w14:textId="77777777" w:rsidR="003F33E5" w:rsidRPr="00F02518" w:rsidRDefault="003F33E5" w:rsidP="00A80D9A">
      <w:pPr>
        <w:rPr>
          <w:rFonts w:asciiTheme="minorHAnsi" w:hAnsiTheme="minorHAnsi" w:cstheme="minorHAnsi"/>
          <w:b/>
        </w:rPr>
      </w:pPr>
    </w:p>
    <w:sectPr w:rsidR="003F33E5" w:rsidRPr="00F02518" w:rsidSect="00FA754B">
      <w:headerReference w:type="default" r:id="rId11"/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7DFC3" w14:textId="77777777" w:rsidR="00301CB3" w:rsidRDefault="00301CB3" w:rsidP="00F6204F">
      <w:r>
        <w:separator/>
      </w:r>
    </w:p>
  </w:endnote>
  <w:endnote w:type="continuationSeparator" w:id="0">
    <w:p w14:paraId="13BDAA27" w14:textId="77777777" w:rsidR="00301CB3" w:rsidRDefault="00301CB3" w:rsidP="00F6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D02B" w14:textId="77777777" w:rsidR="00301CB3" w:rsidRDefault="00301CB3" w:rsidP="00F6204F">
      <w:r>
        <w:separator/>
      </w:r>
    </w:p>
  </w:footnote>
  <w:footnote w:type="continuationSeparator" w:id="0">
    <w:p w14:paraId="105ADBA4" w14:textId="77777777" w:rsidR="00301CB3" w:rsidRDefault="00301CB3" w:rsidP="00F6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414F" w14:textId="77777777" w:rsidR="00F6204F" w:rsidRDefault="00601BEC" w:rsidP="00F6204F">
    <w:pPr>
      <w:pStyle w:val="Header"/>
      <w:jc w:val="right"/>
    </w:pPr>
    <w:r w:rsidRPr="00F6204F">
      <w:rPr>
        <w:rFonts w:ascii="Verdana" w:hAnsi="Verdana"/>
        <w:noProof/>
        <w:color w:val="0072BC"/>
        <w:sz w:val="16"/>
        <w:szCs w:val="16"/>
      </w:rPr>
      <w:drawing>
        <wp:inline distT="0" distB="0" distL="0" distR="0" wp14:anchorId="0B022B2F" wp14:editId="6D3F6C29">
          <wp:extent cx="2133600" cy="571500"/>
          <wp:effectExtent l="0" t="0" r="0" b="0"/>
          <wp:docPr id="1" name="Picture 3" descr="Operations &amp; Estat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erations &amp; Esta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555"/>
    <w:multiLevelType w:val="hybridMultilevel"/>
    <w:tmpl w:val="3894CEAA"/>
    <w:lvl w:ilvl="0" w:tplc="0BF4F3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3AC"/>
    <w:multiLevelType w:val="hybridMultilevel"/>
    <w:tmpl w:val="2C66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41BF"/>
    <w:multiLevelType w:val="hybridMultilevel"/>
    <w:tmpl w:val="EBAC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435"/>
    <w:multiLevelType w:val="multilevel"/>
    <w:tmpl w:val="431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C67D1"/>
    <w:multiLevelType w:val="multilevel"/>
    <w:tmpl w:val="122E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0657B"/>
    <w:multiLevelType w:val="hybridMultilevel"/>
    <w:tmpl w:val="F8F2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32D"/>
    <w:multiLevelType w:val="hybridMultilevel"/>
    <w:tmpl w:val="177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BCC"/>
    <w:multiLevelType w:val="hybridMultilevel"/>
    <w:tmpl w:val="B41E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754B9"/>
    <w:multiLevelType w:val="hybridMultilevel"/>
    <w:tmpl w:val="9498F518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7D964A6"/>
    <w:multiLevelType w:val="hybridMultilevel"/>
    <w:tmpl w:val="9378E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33313"/>
    <w:multiLevelType w:val="hybridMultilevel"/>
    <w:tmpl w:val="1AEA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78AC"/>
    <w:multiLevelType w:val="hybridMultilevel"/>
    <w:tmpl w:val="BA94A2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BD17B86"/>
    <w:multiLevelType w:val="hybridMultilevel"/>
    <w:tmpl w:val="E666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70B7"/>
    <w:multiLevelType w:val="hybridMultilevel"/>
    <w:tmpl w:val="0BE0D6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A17CEC"/>
    <w:multiLevelType w:val="hybridMultilevel"/>
    <w:tmpl w:val="31BC899C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6166D03"/>
    <w:multiLevelType w:val="hybridMultilevel"/>
    <w:tmpl w:val="9B12A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B5547B"/>
    <w:multiLevelType w:val="hybridMultilevel"/>
    <w:tmpl w:val="B0368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FD31FC"/>
    <w:multiLevelType w:val="hybridMultilevel"/>
    <w:tmpl w:val="76DE7D5E"/>
    <w:lvl w:ilvl="0" w:tplc="0BF4F3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D81"/>
    <w:multiLevelType w:val="hybridMultilevel"/>
    <w:tmpl w:val="AEE88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A0567"/>
    <w:multiLevelType w:val="hybridMultilevel"/>
    <w:tmpl w:val="D78007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382D99"/>
    <w:multiLevelType w:val="hybridMultilevel"/>
    <w:tmpl w:val="1298CED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55D0E00"/>
    <w:multiLevelType w:val="multilevel"/>
    <w:tmpl w:val="A52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90D57"/>
    <w:multiLevelType w:val="hybridMultilevel"/>
    <w:tmpl w:val="137C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59"/>
    <w:multiLevelType w:val="hybridMultilevel"/>
    <w:tmpl w:val="AB1A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6CDC"/>
    <w:multiLevelType w:val="hybridMultilevel"/>
    <w:tmpl w:val="21FAE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878D7"/>
    <w:multiLevelType w:val="hybridMultilevel"/>
    <w:tmpl w:val="3EDE5C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252E3E"/>
    <w:multiLevelType w:val="hybridMultilevel"/>
    <w:tmpl w:val="940AAB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040A1F"/>
    <w:multiLevelType w:val="hybridMultilevel"/>
    <w:tmpl w:val="CDAA96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7691E"/>
    <w:multiLevelType w:val="hybridMultilevel"/>
    <w:tmpl w:val="D8D2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1895"/>
    <w:multiLevelType w:val="hybridMultilevel"/>
    <w:tmpl w:val="A9ACD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2E25"/>
    <w:multiLevelType w:val="hybridMultilevel"/>
    <w:tmpl w:val="FDE2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920A6"/>
    <w:multiLevelType w:val="hybridMultilevel"/>
    <w:tmpl w:val="627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53A"/>
    <w:multiLevelType w:val="hybridMultilevel"/>
    <w:tmpl w:val="CFEE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E144E"/>
    <w:multiLevelType w:val="hybridMultilevel"/>
    <w:tmpl w:val="6FA4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15807"/>
    <w:multiLevelType w:val="hybridMultilevel"/>
    <w:tmpl w:val="C156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6844"/>
    <w:multiLevelType w:val="hybridMultilevel"/>
    <w:tmpl w:val="762C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5C0C"/>
    <w:multiLevelType w:val="hybridMultilevel"/>
    <w:tmpl w:val="09F0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E31EC"/>
    <w:multiLevelType w:val="multilevel"/>
    <w:tmpl w:val="CBB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04324"/>
    <w:multiLevelType w:val="hybridMultilevel"/>
    <w:tmpl w:val="F618B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B5237"/>
    <w:multiLevelType w:val="hybridMultilevel"/>
    <w:tmpl w:val="FBD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18"/>
  </w:num>
  <w:num w:numId="6">
    <w:abstractNumId w:val="38"/>
  </w:num>
  <w:num w:numId="7">
    <w:abstractNumId w:val="34"/>
  </w:num>
  <w:num w:numId="8">
    <w:abstractNumId w:val="30"/>
  </w:num>
  <w:num w:numId="9">
    <w:abstractNumId w:val="21"/>
  </w:num>
  <w:num w:numId="10">
    <w:abstractNumId w:val="20"/>
  </w:num>
  <w:num w:numId="11">
    <w:abstractNumId w:val="37"/>
  </w:num>
  <w:num w:numId="12">
    <w:abstractNumId w:val="24"/>
  </w:num>
  <w:num w:numId="13">
    <w:abstractNumId w:val="14"/>
  </w:num>
  <w:num w:numId="14">
    <w:abstractNumId w:val="10"/>
  </w:num>
  <w:num w:numId="15">
    <w:abstractNumId w:val="31"/>
  </w:num>
  <w:num w:numId="16">
    <w:abstractNumId w:val="26"/>
  </w:num>
  <w:num w:numId="17">
    <w:abstractNumId w:val="33"/>
  </w:num>
  <w:num w:numId="18">
    <w:abstractNumId w:val="36"/>
  </w:num>
  <w:num w:numId="19">
    <w:abstractNumId w:val="35"/>
  </w:num>
  <w:num w:numId="20">
    <w:abstractNumId w:val="17"/>
  </w:num>
  <w:num w:numId="21">
    <w:abstractNumId w:val="27"/>
  </w:num>
  <w:num w:numId="22">
    <w:abstractNumId w:val="2"/>
  </w:num>
  <w:num w:numId="23">
    <w:abstractNumId w:val="39"/>
  </w:num>
  <w:num w:numId="24">
    <w:abstractNumId w:val="13"/>
  </w:num>
  <w:num w:numId="25">
    <w:abstractNumId w:val="23"/>
  </w:num>
  <w:num w:numId="26">
    <w:abstractNumId w:val="0"/>
  </w:num>
  <w:num w:numId="27">
    <w:abstractNumId w:val="0"/>
  </w:num>
  <w:num w:numId="28">
    <w:abstractNumId w:val="19"/>
  </w:num>
  <w:num w:numId="29">
    <w:abstractNumId w:val="29"/>
  </w:num>
  <w:num w:numId="30">
    <w:abstractNumId w:val="16"/>
  </w:num>
  <w:num w:numId="31">
    <w:abstractNumId w:val="22"/>
  </w:num>
  <w:num w:numId="32">
    <w:abstractNumId w:val="8"/>
  </w:num>
  <w:num w:numId="33">
    <w:abstractNumId w:val="4"/>
  </w:num>
  <w:num w:numId="34">
    <w:abstractNumId w:val="5"/>
  </w:num>
  <w:num w:numId="35">
    <w:abstractNumId w:val="3"/>
  </w:num>
  <w:num w:numId="36">
    <w:abstractNumId w:val="32"/>
  </w:num>
  <w:num w:numId="37">
    <w:abstractNumId w:val="40"/>
  </w:num>
  <w:num w:numId="38">
    <w:abstractNumId w:val="12"/>
  </w:num>
  <w:num w:numId="39">
    <w:abstractNumId w:val="7"/>
  </w:num>
  <w:num w:numId="40">
    <w:abstractNumId w:val="28"/>
  </w:num>
  <w:num w:numId="41">
    <w:abstractNumId w:val="28"/>
  </w:num>
  <w:num w:numId="42">
    <w:abstractNumId w:val="25"/>
  </w:num>
  <w:num w:numId="43">
    <w:abstractNumId w:val="2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4B"/>
    <w:rsid w:val="00012F5F"/>
    <w:rsid w:val="00030E84"/>
    <w:rsid w:val="00040270"/>
    <w:rsid w:val="00073BB6"/>
    <w:rsid w:val="00086D53"/>
    <w:rsid w:val="00090396"/>
    <w:rsid w:val="00091658"/>
    <w:rsid w:val="00094258"/>
    <w:rsid w:val="000A2659"/>
    <w:rsid w:val="000A2ADC"/>
    <w:rsid w:val="000B0B1B"/>
    <w:rsid w:val="000C4A7B"/>
    <w:rsid w:val="000D31BE"/>
    <w:rsid w:val="000E4F9D"/>
    <w:rsid w:val="000E55AE"/>
    <w:rsid w:val="000F5173"/>
    <w:rsid w:val="00141A52"/>
    <w:rsid w:val="001643E0"/>
    <w:rsid w:val="00165976"/>
    <w:rsid w:val="00175B8E"/>
    <w:rsid w:val="00183B4D"/>
    <w:rsid w:val="00193260"/>
    <w:rsid w:val="001A5BCC"/>
    <w:rsid w:val="001B5DE0"/>
    <w:rsid w:val="001C2995"/>
    <w:rsid w:val="001C3F60"/>
    <w:rsid w:val="001D2091"/>
    <w:rsid w:val="001D6DAF"/>
    <w:rsid w:val="001E696E"/>
    <w:rsid w:val="002153D0"/>
    <w:rsid w:val="00231DF2"/>
    <w:rsid w:val="00277F2F"/>
    <w:rsid w:val="00291F10"/>
    <w:rsid w:val="0029550E"/>
    <w:rsid w:val="002A0C66"/>
    <w:rsid w:val="002B26DA"/>
    <w:rsid w:val="002B7AB9"/>
    <w:rsid w:val="002C0269"/>
    <w:rsid w:val="002C34EE"/>
    <w:rsid w:val="002E32E6"/>
    <w:rsid w:val="002F34DC"/>
    <w:rsid w:val="00301CB3"/>
    <w:rsid w:val="00307CE3"/>
    <w:rsid w:val="00326A13"/>
    <w:rsid w:val="003563BF"/>
    <w:rsid w:val="00362E87"/>
    <w:rsid w:val="00370A69"/>
    <w:rsid w:val="00371BAA"/>
    <w:rsid w:val="003877ED"/>
    <w:rsid w:val="003A588F"/>
    <w:rsid w:val="003C4ECA"/>
    <w:rsid w:val="003D4A71"/>
    <w:rsid w:val="003D6543"/>
    <w:rsid w:val="003E5FFA"/>
    <w:rsid w:val="003F33E5"/>
    <w:rsid w:val="004423E8"/>
    <w:rsid w:val="00467C10"/>
    <w:rsid w:val="00472D82"/>
    <w:rsid w:val="00474E59"/>
    <w:rsid w:val="00476405"/>
    <w:rsid w:val="00480984"/>
    <w:rsid w:val="0048462D"/>
    <w:rsid w:val="004864AD"/>
    <w:rsid w:val="00493C27"/>
    <w:rsid w:val="004D09F0"/>
    <w:rsid w:val="004E07AF"/>
    <w:rsid w:val="004F4DF6"/>
    <w:rsid w:val="004F5D5C"/>
    <w:rsid w:val="00507462"/>
    <w:rsid w:val="00521916"/>
    <w:rsid w:val="00535F3E"/>
    <w:rsid w:val="00542377"/>
    <w:rsid w:val="00550FC1"/>
    <w:rsid w:val="005603A3"/>
    <w:rsid w:val="00563375"/>
    <w:rsid w:val="00572430"/>
    <w:rsid w:val="00584720"/>
    <w:rsid w:val="005A23A2"/>
    <w:rsid w:val="005A2F9D"/>
    <w:rsid w:val="005A7B93"/>
    <w:rsid w:val="005C0206"/>
    <w:rsid w:val="00601BEC"/>
    <w:rsid w:val="00641235"/>
    <w:rsid w:val="00651D53"/>
    <w:rsid w:val="006526BB"/>
    <w:rsid w:val="00657B8E"/>
    <w:rsid w:val="006669DB"/>
    <w:rsid w:val="00677C0D"/>
    <w:rsid w:val="006802D1"/>
    <w:rsid w:val="006921AF"/>
    <w:rsid w:val="006A217C"/>
    <w:rsid w:val="006A4410"/>
    <w:rsid w:val="006B5280"/>
    <w:rsid w:val="006B7613"/>
    <w:rsid w:val="006C0CFD"/>
    <w:rsid w:val="006F0860"/>
    <w:rsid w:val="007052BB"/>
    <w:rsid w:val="0073634E"/>
    <w:rsid w:val="007427B2"/>
    <w:rsid w:val="00742CF7"/>
    <w:rsid w:val="00751771"/>
    <w:rsid w:val="00752DA7"/>
    <w:rsid w:val="00754B8B"/>
    <w:rsid w:val="00754BC0"/>
    <w:rsid w:val="007733D4"/>
    <w:rsid w:val="0078053A"/>
    <w:rsid w:val="00785149"/>
    <w:rsid w:val="00787DFE"/>
    <w:rsid w:val="007A35E8"/>
    <w:rsid w:val="007B016C"/>
    <w:rsid w:val="007B3509"/>
    <w:rsid w:val="007E5C38"/>
    <w:rsid w:val="007F1999"/>
    <w:rsid w:val="007F43D5"/>
    <w:rsid w:val="00821CA6"/>
    <w:rsid w:val="00842B0C"/>
    <w:rsid w:val="0085184D"/>
    <w:rsid w:val="00867774"/>
    <w:rsid w:val="00873BAD"/>
    <w:rsid w:val="00876D8A"/>
    <w:rsid w:val="008902EB"/>
    <w:rsid w:val="008933D0"/>
    <w:rsid w:val="008A18DB"/>
    <w:rsid w:val="008C79C4"/>
    <w:rsid w:val="00914C51"/>
    <w:rsid w:val="00922789"/>
    <w:rsid w:val="00932DC3"/>
    <w:rsid w:val="009333AA"/>
    <w:rsid w:val="009338D9"/>
    <w:rsid w:val="00934741"/>
    <w:rsid w:val="009439FB"/>
    <w:rsid w:val="00953DF3"/>
    <w:rsid w:val="00957250"/>
    <w:rsid w:val="00964B60"/>
    <w:rsid w:val="0098082C"/>
    <w:rsid w:val="00991853"/>
    <w:rsid w:val="00996676"/>
    <w:rsid w:val="009A7CCB"/>
    <w:rsid w:val="009C608A"/>
    <w:rsid w:val="009C7897"/>
    <w:rsid w:val="009E0B1B"/>
    <w:rsid w:val="009E44A2"/>
    <w:rsid w:val="009F799A"/>
    <w:rsid w:val="00A01250"/>
    <w:rsid w:val="00A17005"/>
    <w:rsid w:val="00A2256D"/>
    <w:rsid w:val="00A564C3"/>
    <w:rsid w:val="00A65758"/>
    <w:rsid w:val="00A80D9A"/>
    <w:rsid w:val="00A81B1A"/>
    <w:rsid w:val="00A92918"/>
    <w:rsid w:val="00AB29B6"/>
    <w:rsid w:val="00AB4864"/>
    <w:rsid w:val="00AD5B54"/>
    <w:rsid w:val="00AE3E6B"/>
    <w:rsid w:val="00B0123D"/>
    <w:rsid w:val="00B51A51"/>
    <w:rsid w:val="00B56CA3"/>
    <w:rsid w:val="00B61D7A"/>
    <w:rsid w:val="00B74814"/>
    <w:rsid w:val="00B75908"/>
    <w:rsid w:val="00B94B73"/>
    <w:rsid w:val="00BB0E42"/>
    <w:rsid w:val="00BD3E31"/>
    <w:rsid w:val="00BF1C86"/>
    <w:rsid w:val="00C006DB"/>
    <w:rsid w:val="00C012C9"/>
    <w:rsid w:val="00C02E79"/>
    <w:rsid w:val="00C140B1"/>
    <w:rsid w:val="00C175EA"/>
    <w:rsid w:val="00C24A66"/>
    <w:rsid w:val="00C32AAC"/>
    <w:rsid w:val="00C555AA"/>
    <w:rsid w:val="00C6066B"/>
    <w:rsid w:val="00CA2F81"/>
    <w:rsid w:val="00CB2671"/>
    <w:rsid w:val="00CB2C53"/>
    <w:rsid w:val="00CD0D95"/>
    <w:rsid w:val="00CF5E02"/>
    <w:rsid w:val="00D1047E"/>
    <w:rsid w:val="00D12238"/>
    <w:rsid w:val="00D122BB"/>
    <w:rsid w:val="00D24330"/>
    <w:rsid w:val="00D30F65"/>
    <w:rsid w:val="00D31009"/>
    <w:rsid w:val="00D334BD"/>
    <w:rsid w:val="00D4492D"/>
    <w:rsid w:val="00D61743"/>
    <w:rsid w:val="00D7413E"/>
    <w:rsid w:val="00D846BA"/>
    <w:rsid w:val="00D90A83"/>
    <w:rsid w:val="00D9106A"/>
    <w:rsid w:val="00DA21DB"/>
    <w:rsid w:val="00DA61FC"/>
    <w:rsid w:val="00DE128D"/>
    <w:rsid w:val="00E01F9B"/>
    <w:rsid w:val="00E07308"/>
    <w:rsid w:val="00E2127D"/>
    <w:rsid w:val="00E43523"/>
    <w:rsid w:val="00E45541"/>
    <w:rsid w:val="00E60616"/>
    <w:rsid w:val="00E719A9"/>
    <w:rsid w:val="00E903E8"/>
    <w:rsid w:val="00E909CC"/>
    <w:rsid w:val="00E95C74"/>
    <w:rsid w:val="00EA4D7D"/>
    <w:rsid w:val="00EA64A2"/>
    <w:rsid w:val="00EA78CA"/>
    <w:rsid w:val="00EB1B60"/>
    <w:rsid w:val="00EC4726"/>
    <w:rsid w:val="00ED0BD9"/>
    <w:rsid w:val="00ED1AAB"/>
    <w:rsid w:val="00ED2CFE"/>
    <w:rsid w:val="00ED53C8"/>
    <w:rsid w:val="00EE3719"/>
    <w:rsid w:val="00EE6CE0"/>
    <w:rsid w:val="00F02518"/>
    <w:rsid w:val="00F05EDF"/>
    <w:rsid w:val="00F222DA"/>
    <w:rsid w:val="00F23F32"/>
    <w:rsid w:val="00F355D0"/>
    <w:rsid w:val="00F3721F"/>
    <w:rsid w:val="00F422CB"/>
    <w:rsid w:val="00F57D0B"/>
    <w:rsid w:val="00F6204F"/>
    <w:rsid w:val="00F64834"/>
    <w:rsid w:val="00F6656A"/>
    <w:rsid w:val="00F71AFA"/>
    <w:rsid w:val="00F74962"/>
    <w:rsid w:val="00F93527"/>
    <w:rsid w:val="00F936BB"/>
    <w:rsid w:val="00F979D4"/>
    <w:rsid w:val="00FA3857"/>
    <w:rsid w:val="00FA703C"/>
    <w:rsid w:val="00FA754B"/>
    <w:rsid w:val="00FB42AF"/>
    <w:rsid w:val="00FB6F0F"/>
    <w:rsid w:val="00FC29D1"/>
    <w:rsid w:val="00FC3A9D"/>
    <w:rsid w:val="00FD34E3"/>
    <w:rsid w:val="00FD59A5"/>
    <w:rsid w:val="00FE2569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BC255"/>
  <w15:chartTrackingRefBased/>
  <w15:docId w15:val="{EEC15F16-BBB8-463E-84E9-B114428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0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204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0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4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6543"/>
    <w:pPr>
      <w:ind w:left="720"/>
    </w:pPr>
  </w:style>
  <w:style w:type="character" w:styleId="Strong">
    <w:name w:val="Strong"/>
    <w:uiPriority w:val="22"/>
    <w:qFormat/>
    <w:rsid w:val="009F799A"/>
    <w:rPr>
      <w:b/>
      <w:bCs/>
    </w:rPr>
  </w:style>
  <w:style w:type="character" w:styleId="Hyperlink">
    <w:name w:val="Hyperlink"/>
    <w:uiPriority w:val="99"/>
    <w:semiHidden/>
    <w:unhideWhenUsed/>
    <w:rsid w:val="00E60616"/>
    <w:rPr>
      <w:color w:val="0000FF"/>
      <w:u w:val="single"/>
    </w:rPr>
  </w:style>
  <w:style w:type="character" w:customStyle="1" w:styleId="A6">
    <w:name w:val="A6"/>
    <w:uiPriority w:val="99"/>
    <w:rsid w:val="00563375"/>
    <w:rPr>
      <w:color w:val="000000"/>
      <w:sz w:val="22"/>
      <w:szCs w:val="22"/>
      <w:u w:val="single"/>
    </w:rPr>
  </w:style>
  <w:style w:type="character" w:customStyle="1" w:styleId="A5">
    <w:name w:val="A5"/>
    <w:uiPriority w:val="99"/>
    <w:rsid w:val="00563375"/>
    <w:rPr>
      <w:color w:val="000000"/>
      <w:sz w:val="22"/>
      <w:szCs w:val="22"/>
    </w:rPr>
  </w:style>
  <w:style w:type="paragraph" w:customStyle="1" w:styleId="Default">
    <w:name w:val="Default"/>
    <w:uiPriority w:val="99"/>
    <w:rsid w:val="00CD0D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3E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ff.eani.org.uk/projects/Operations_E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6120F93F6B848B1089922FE0BF507" ma:contentTypeVersion="10" ma:contentTypeDescription="Create a new document." ma:contentTypeScope="" ma:versionID="3077c283dc977afa328385ae0a4280c5">
  <xsd:schema xmlns:xsd="http://www.w3.org/2001/XMLSchema" xmlns:xs="http://www.w3.org/2001/XMLSchema" xmlns:p="http://schemas.microsoft.com/office/2006/metadata/properties" xmlns:ns3="50bd3c10-7d4c-418a-8b23-1e5c1a9a5dff" targetNamespace="http://schemas.microsoft.com/office/2006/metadata/properties" ma:root="true" ma:fieldsID="e1340ce4509e2188b803aca714816807" ns3:_="">
    <xsd:import namespace="50bd3c10-7d4c-418a-8b23-1e5c1a9a5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3c10-7d4c-418a-8b23-1e5c1a9a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E7F7-5DEB-4D67-AFC5-CDBC82CC9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D8B40-B178-4DD5-9861-3AE7693A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d3c10-7d4c-418a-8b23-1e5c1a9a5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63854-46BB-4CAD-BBFA-289ACBA87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7EED4-2580-4EE1-97F5-F0485D3C8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ACTIVITY: ADVERSE WEATHER CONDITIONS</vt:lpstr>
    </vt:vector>
  </TitlesOfParts>
  <Company>NEELB</Company>
  <LinksUpToDate>false</LinksUpToDate>
  <CharactersWithSpaces>2827</CharactersWithSpaces>
  <SharedDoc>false</SharedDoc>
  <HLinks>
    <vt:vector size="6" baseType="variant">
      <vt:variant>
        <vt:i4>1048611</vt:i4>
      </vt:variant>
      <vt:variant>
        <vt:i4>0</vt:i4>
      </vt:variant>
      <vt:variant>
        <vt:i4>0</vt:i4>
      </vt:variant>
      <vt:variant>
        <vt:i4>5</vt:i4>
      </vt:variant>
      <vt:variant>
        <vt:lpwstr>http://staff.eani.org.uk/projects/Operations_Estates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ACTIVITY: ADVERSE WEATHER CONDITIONS</dc:title>
  <dc:subject/>
  <dc:creator>Orla.Martin</dc:creator>
  <cp:keywords/>
  <cp:lastModifiedBy>David Orr (Armagh)</cp:lastModifiedBy>
  <cp:revision>2</cp:revision>
  <dcterms:created xsi:type="dcterms:W3CDTF">2022-04-08T14:15:00Z</dcterms:created>
  <dcterms:modified xsi:type="dcterms:W3CDTF">2022-04-08T14:15:00Z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0x01010022C6120F93F6B848B1089922FE0BF507</vt:lpwstr>
  </property>
</Properties>
</file>